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B9E6" w14:textId="63A96F69"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2911E3">
        <w:rPr>
          <w:rStyle w:val="Heading1Char"/>
          <w:rFonts w:eastAsiaTheme="minorHAnsi"/>
        </w:rPr>
        <w:t>4/</w:t>
      </w:r>
      <w:r w:rsidR="00B24463">
        <w:rPr>
          <w:rStyle w:val="Heading1Char"/>
          <w:rFonts w:eastAsiaTheme="minorHAnsi"/>
        </w:rPr>
        <w:t>10</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E96B448" w14:textId="088BD5CD" w:rsidR="00F44F19" w:rsidRDefault="00503914" w:rsidP="00CF00BB">
      <w:r>
        <w:t>Members Present:</w:t>
      </w:r>
      <w:r w:rsidR="0050051C">
        <w:t xml:space="preserve"> </w:t>
      </w:r>
      <w:r w:rsidR="00006C1C">
        <w:t xml:space="preserve">B. Carpenter, </w:t>
      </w:r>
      <w:r>
        <w:t xml:space="preserve">D. Coffin, </w:t>
      </w:r>
      <w:r w:rsidR="00E66805">
        <w:t>J. Eglin,</w:t>
      </w:r>
      <w:r w:rsidR="00E66805" w:rsidRPr="00CF00BB">
        <w:t xml:space="preserve"> </w:t>
      </w:r>
      <w:r w:rsidR="00D8785D">
        <w:t xml:space="preserve">M. Hendrix, </w:t>
      </w:r>
      <w:r w:rsidR="00411645">
        <w:t xml:space="preserve">J. Iverson, </w:t>
      </w:r>
      <w:r w:rsidR="007A1CD2">
        <w:t xml:space="preserve">G. Morell, </w:t>
      </w:r>
      <w:r w:rsidR="00411645">
        <w:t>D. Parsons</w:t>
      </w:r>
      <w:r w:rsidR="00B24463">
        <w:t xml:space="preserve">, </w:t>
      </w:r>
      <w:r w:rsidR="00411645">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E66805">
        <w:br/>
      </w:r>
      <w:r>
        <w:t>Ex-Officio Present</w:t>
      </w:r>
      <w:r w:rsidR="000B0ABD">
        <w:t>:</w:t>
      </w:r>
      <w:r w:rsidR="0017113A">
        <w:t xml:space="preserve"> </w:t>
      </w:r>
      <w:r w:rsidR="00352848" w:rsidRPr="00352848">
        <w:t xml:space="preserve"> </w:t>
      </w:r>
      <w:r w:rsidR="003527F2">
        <w:t xml:space="preserve"> </w:t>
      </w:r>
      <w:r w:rsidR="00B24463">
        <w:t xml:space="preserve">B. French, </w:t>
      </w:r>
      <w:r w:rsidR="002442C5">
        <w:t>T. Morgan</w:t>
      </w:r>
      <w:r w:rsidR="00B24463">
        <w:t xml:space="preserve">, </w:t>
      </w:r>
      <w:r w:rsidR="002442C5">
        <w:t xml:space="preserve"> </w:t>
      </w:r>
      <w:r w:rsidR="00B24463">
        <w:t>N. Lindsay</w:t>
      </w:r>
      <w:r w:rsidR="002442C5">
        <w:br/>
      </w:r>
      <w:r>
        <w:t>Members Excused:</w:t>
      </w:r>
      <w:r w:rsidR="00904C76" w:rsidRPr="00904C76">
        <w:t xml:space="preserve"> </w:t>
      </w:r>
      <w:r w:rsidR="00411645">
        <w:t xml:space="preserve">N. Greymorning, </w:t>
      </w:r>
      <w:r w:rsidR="002442C5">
        <w:t xml:space="preserve">J. Hickman,  B. Hillman, </w:t>
      </w:r>
      <w:r w:rsidR="00411645">
        <w:t xml:space="preserve">B. </w:t>
      </w:r>
      <w:r w:rsidR="00411645" w:rsidRPr="009C7A48">
        <w:t>Holzworth</w:t>
      </w:r>
      <w:r w:rsidR="00B24463">
        <w:t xml:space="preserve">, </w:t>
      </w:r>
      <w:r w:rsidR="00411645">
        <w:t xml:space="preserve"> </w:t>
      </w:r>
      <w:r w:rsidR="00B24463">
        <w:t>V. Hopkins,</w:t>
      </w:r>
      <w:r w:rsidR="002442C5">
        <w:br/>
      </w:r>
    </w:p>
    <w:p w14:paraId="0EB05924" w14:textId="42E19163" w:rsidR="00503914" w:rsidRDefault="002442C5" w:rsidP="00503914">
      <w:r>
        <w:t xml:space="preserve">The minutes from 4/3/18 and 3/20/18 were approved. </w:t>
      </w:r>
    </w:p>
    <w:p w14:paraId="65B65981" w14:textId="77777777" w:rsidR="00271B7B" w:rsidRDefault="00271B7B" w:rsidP="00A90FA5">
      <w:pPr>
        <w:pStyle w:val="Heading2"/>
      </w:pPr>
      <w:r>
        <w:t>Communication</w:t>
      </w:r>
    </w:p>
    <w:p w14:paraId="475557F7" w14:textId="10B6A77C" w:rsidR="00A410A0" w:rsidRDefault="00A410A0" w:rsidP="00CB54A5">
      <w:pPr>
        <w:pStyle w:val="ListParagraph"/>
        <w:rPr>
          <w:rFonts w:cstheme="minorHAnsi"/>
        </w:rPr>
      </w:pPr>
    </w:p>
    <w:p w14:paraId="4A43F53F" w14:textId="4C6E0CDF" w:rsidR="00802209" w:rsidRPr="00CD4563" w:rsidRDefault="002442C5" w:rsidP="00CD4563">
      <w:pPr>
        <w:pStyle w:val="ListParagraph"/>
        <w:numPr>
          <w:ilvl w:val="0"/>
          <w:numId w:val="36"/>
        </w:numPr>
        <w:rPr>
          <w:rFonts w:cstheme="minorHAnsi"/>
        </w:rPr>
      </w:pPr>
      <w:r w:rsidRPr="00CD4563">
        <w:rPr>
          <w:rFonts w:cstheme="minorHAnsi"/>
        </w:rPr>
        <w:t>Members were reminded of the possible meetings remaining for the semester.  Next Tuesday, April 17</w:t>
      </w:r>
      <w:r w:rsidRPr="00CD4563">
        <w:rPr>
          <w:rFonts w:cstheme="minorHAnsi"/>
          <w:vertAlign w:val="superscript"/>
        </w:rPr>
        <w:t>th</w:t>
      </w:r>
      <w:r w:rsidRPr="00CD4563">
        <w:rPr>
          <w:rFonts w:cstheme="minorHAnsi"/>
        </w:rPr>
        <w:t xml:space="preserve"> there is a special Faculty Senate meeting, so the committee will not meet.  The</w:t>
      </w:r>
      <w:r w:rsidR="00B24463" w:rsidRPr="00CD4563">
        <w:rPr>
          <w:rFonts w:cstheme="minorHAnsi"/>
        </w:rPr>
        <w:t xml:space="preserve"> Committee will meet on </w:t>
      </w:r>
      <w:r w:rsidRPr="00CD4563">
        <w:rPr>
          <w:rFonts w:cstheme="minorHAnsi"/>
        </w:rPr>
        <w:t>April 24</w:t>
      </w:r>
      <w:r w:rsidRPr="00CD4563">
        <w:rPr>
          <w:rFonts w:cstheme="minorHAnsi"/>
          <w:vertAlign w:val="superscript"/>
        </w:rPr>
        <w:t>th</w:t>
      </w:r>
      <w:r w:rsidR="00B24463" w:rsidRPr="00CD4563">
        <w:rPr>
          <w:rFonts w:cstheme="minorHAnsi"/>
        </w:rPr>
        <w:t>.  There is also a faculty listening session on that day and another one on April 26</w:t>
      </w:r>
      <w:r w:rsidR="00B24463" w:rsidRPr="00CD4563">
        <w:rPr>
          <w:rFonts w:cstheme="minorHAnsi"/>
          <w:vertAlign w:val="superscript"/>
        </w:rPr>
        <w:t>th</w:t>
      </w:r>
      <w:r w:rsidR="00B24463" w:rsidRPr="00CD4563">
        <w:rPr>
          <w:rFonts w:cstheme="minorHAnsi"/>
        </w:rPr>
        <w:t xml:space="preserve"> </w:t>
      </w:r>
      <w:r w:rsidRPr="00CD4563">
        <w:rPr>
          <w:rFonts w:cstheme="minorHAnsi"/>
        </w:rPr>
        <w:t xml:space="preserve">to discuss the President’s recommendations.  </w:t>
      </w:r>
    </w:p>
    <w:p w14:paraId="080284B9" w14:textId="1AB92656" w:rsidR="00CB7641" w:rsidRDefault="00CB7641" w:rsidP="0055551D">
      <w:pPr>
        <w:pStyle w:val="Heading2"/>
      </w:pPr>
      <w:r>
        <w:t>Business</w:t>
      </w:r>
    </w:p>
    <w:p w14:paraId="47EF85EA" w14:textId="1C3031BE" w:rsidR="00EA13B2" w:rsidRDefault="00A538B0" w:rsidP="00EA13B2">
      <w:pPr>
        <w:pStyle w:val="ListParagraph"/>
        <w:numPr>
          <w:ilvl w:val="0"/>
          <w:numId w:val="37"/>
        </w:numPr>
      </w:pPr>
      <w:r>
        <w:t xml:space="preserve">The remaining curriculum proposals were approved.  </w:t>
      </w:r>
      <w:r w:rsidR="00E2060B">
        <w:t xml:space="preserve">Several approvals were contingent on the submission of syllabi.  </w:t>
      </w:r>
      <w:r>
        <w:t xml:space="preserve"> The e-</w:t>
      </w:r>
      <w:proofErr w:type="spellStart"/>
      <w:r>
        <w:t>Curr</w:t>
      </w:r>
      <w:proofErr w:type="spellEnd"/>
      <w:r>
        <w:t xml:space="preserve"> form does not require syllabi for </w:t>
      </w:r>
      <w:r w:rsidR="00E2060B">
        <w:t xml:space="preserve">all </w:t>
      </w:r>
      <w:r>
        <w:t xml:space="preserve">course changes.  Catalog language for the Native American Studies program modification was </w:t>
      </w:r>
      <w:r w:rsidR="00E2060B">
        <w:t xml:space="preserve">received after the meeting. </w:t>
      </w:r>
      <w:r>
        <w:t xml:space="preserve">  </w:t>
      </w:r>
      <w:r>
        <w:br/>
      </w:r>
    </w:p>
    <w:tbl>
      <w:tblPr>
        <w:tblW w:w="8393" w:type="dxa"/>
        <w:tblInd w:w="805" w:type="dxa"/>
        <w:tblLook w:val="04A0" w:firstRow="1" w:lastRow="0" w:firstColumn="1" w:lastColumn="0" w:noHBand="0" w:noVBand="1"/>
      </w:tblPr>
      <w:tblGrid>
        <w:gridCol w:w="1440"/>
        <w:gridCol w:w="2790"/>
        <w:gridCol w:w="4163"/>
      </w:tblGrid>
      <w:tr w:rsidR="00F711DF" w:rsidRPr="0073084E" w14:paraId="0075D0C0" w14:textId="77777777" w:rsidTr="00F711DF">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4C3C5EB" w14:textId="42D60E65" w:rsidR="00F711DF" w:rsidRDefault="00F711DF" w:rsidP="00173030">
            <w:pPr>
              <w:spacing w:after="0" w:line="240" w:lineRule="auto"/>
            </w:pPr>
            <w:r>
              <w:t>Course</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658C6FDB" w14:textId="28F31ED2" w:rsidR="00F711DF" w:rsidRPr="0073084E" w:rsidRDefault="00F711DF" w:rsidP="0017303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Title</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center"/>
          </w:tcPr>
          <w:p w14:paraId="57AC1A32" w14:textId="11F23356" w:rsidR="00F711DF" w:rsidRPr="0073084E" w:rsidRDefault="00F711DF" w:rsidP="00E2060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Change</w:t>
            </w:r>
          </w:p>
        </w:tc>
      </w:tr>
      <w:tr w:rsidR="00EA13B2" w:rsidRPr="0073084E" w14:paraId="6FDFAFE3" w14:textId="77777777" w:rsidTr="00F711DF">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1018E" w14:textId="77777777" w:rsidR="00EA13B2" w:rsidRPr="0073084E" w:rsidRDefault="00D90E66" w:rsidP="00173030">
            <w:pPr>
              <w:spacing w:after="0" w:line="240" w:lineRule="auto"/>
              <w:rPr>
                <w:rFonts w:ascii="Calibri" w:eastAsia="Times New Roman" w:hAnsi="Calibri" w:cs="Times New Roman"/>
                <w:color w:val="0563C1"/>
                <w:u w:val="single"/>
              </w:rPr>
            </w:pPr>
            <w:hyperlink r:id="rId6" w:history="1">
              <w:r w:rsidR="00EA13B2" w:rsidRPr="0073084E">
                <w:rPr>
                  <w:rFonts w:ascii="Calibri" w:eastAsia="Times New Roman" w:hAnsi="Calibri" w:cs="Times New Roman"/>
                  <w:color w:val="0563C1"/>
                  <w:u w:val="single"/>
                </w:rPr>
                <w:t>ACTG 307 U</w:t>
              </w:r>
            </w:hyperlink>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57489" w14:textId="77777777" w:rsidR="00EA13B2" w:rsidRPr="0073084E" w:rsidRDefault="00EA13B2" w:rsidP="00173030">
            <w:pPr>
              <w:spacing w:after="0" w:line="240" w:lineRule="auto"/>
              <w:rPr>
                <w:rFonts w:ascii="Arial" w:eastAsia="Times New Roman" w:hAnsi="Arial" w:cs="Arial"/>
                <w:color w:val="000000"/>
                <w:sz w:val="20"/>
                <w:szCs w:val="20"/>
              </w:rPr>
            </w:pPr>
            <w:r w:rsidRPr="0073084E">
              <w:rPr>
                <w:rFonts w:ascii="Arial" w:eastAsia="Times New Roman" w:hAnsi="Arial" w:cs="Arial"/>
                <w:color w:val="000000"/>
                <w:sz w:val="20"/>
                <w:szCs w:val="20"/>
              </w:rPr>
              <w:t>Corporate Reporting III</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47E57" w14:textId="5DF166D2" w:rsidR="00EA13B2" w:rsidRPr="0073084E" w:rsidRDefault="00EA13B2" w:rsidP="00E2060B">
            <w:pPr>
              <w:spacing w:after="0" w:line="240" w:lineRule="auto"/>
              <w:rPr>
                <w:rFonts w:ascii="Arial" w:eastAsia="Times New Roman" w:hAnsi="Arial" w:cs="Arial"/>
                <w:color w:val="000000"/>
                <w:sz w:val="20"/>
                <w:szCs w:val="20"/>
              </w:rPr>
            </w:pPr>
            <w:r w:rsidRPr="0073084E">
              <w:rPr>
                <w:rFonts w:ascii="Arial" w:eastAsia="Times New Roman" w:hAnsi="Arial" w:cs="Arial"/>
                <w:color w:val="000000"/>
                <w:sz w:val="20"/>
                <w:szCs w:val="20"/>
              </w:rPr>
              <w:t>Change credits</w:t>
            </w:r>
            <w:r>
              <w:rPr>
                <w:rFonts w:ascii="Arial" w:eastAsia="Times New Roman" w:hAnsi="Arial" w:cs="Arial"/>
                <w:color w:val="000000"/>
                <w:sz w:val="20"/>
                <w:szCs w:val="20"/>
              </w:rPr>
              <w:t xml:space="preserve"> (</w:t>
            </w:r>
            <w:r w:rsidR="00E2060B">
              <w:rPr>
                <w:rFonts w:ascii="Arial" w:eastAsia="Times New Roman" w:hAnsi="Arial" w:cs="Arial"/>
                <w:color w:val="000000"/>
                <w:sz w:val="20"/>
                <w:szCs w:val="20"/>
              </w:rPr>
              <w:t>pending</w:t>
            </w:r>
            <w:r>
              <w:rPr>
                <w:rFonts w:ascii="Arial" w:eastAsia="Times New Roman" w:hAnsi="Arial" w:cs="Arial"/>
                <w:color w:val="000000"/>
                <w:sz w:val="20"/>
                <w:szCs w:val="20"/>
              </w:rPr>
              <w:t xml:space="preserve"> syllabi)</w:t>
            </w:r>
          </w:p>
        </w:tc>
      </w:tr>
      <w:tr w:rsidR="00EA13B2" w:rsidRPr="00AB6D25" w14:paraId="3904416D" w14:textId="77777777" w:rsidTr="00E2060B">
        <w:trPr>
          <w:trHeight w:val="290"/>
        </w:trPr>
        <w:tc>
          <w:tcPr>
            <w:tcW w:w="1440" w:type="dxa"/>
            <w:tcBorders>
              <w:top w:val="nil"/>
              <w:left w:val="single" w:sz="4" w:space="0" w:color="000000"/>
              <w:bottom w:val="single" w:sz="4" w:space="0" w:color="auto"/>
              <w:right w:val="single" w:sz="4" w:space="0" w:color="000000"/>
            </w:tcBorders>
            <w:shd w:val="clear" w:color="000000" w:fill="FFFFFF"/>
            <w:vAlign w:val="center"/>
            <w:hideMark/>
          </w:tcPr>
          <w:p w14:paraId="40AF8364" w14:textId="77777777" w:rsidR="00EA13B2" w:rsidRPr="00EA13B2" w:rsidRDefault="00D90E66" w:rsidP="00EA13B2">
            <w:pPr>
              <w:spacing w:after="0" w:line="240" w:lineRule="auto"/>
            </w:pPr>
            <w:hyperlink r:id="rId7" w:history="1">
              <w:r w:rsidR="00EA13B2" w:rsidRPr="00EA13B2">
                <w:rPr>
                  <w:rStyle w:val="Hyperlink"/>
                </w:rPr>
                <w:t>CHMY 123 U</w:t>
              </w:r>
            </w:hyperlink>
          </w:p>
        </w:tc>
        <w:tc>
          <w:tcPr>
            <w:tcW w:w="2790" w:type="dxa"/>
            <w:tcBorders>
              <w:top w:val="nil"/>
              <w:left w:val="nil"/>
              <w:bottom w:val="single" w:sz="4" w:space="0" w:color="auto"/>
              <w:right w:val="single" w:sz="4" w:space="0" w:color="000000"/>
            </w:tcBorders>
            <w:shd w:val="clear" w:color="000000" w:fill="FFFFFF"/>
            <w:vAlign w:val="center"/>
            <w:hideMark/>
          </w:tcPr>
          <w:p w14:paraId="28507BB4" w14:textId="77777777" w:rsidR="00EA13B2" w:rsidRPr="00EA13B2" w:rsidRDefault="00EA13B2" w:rsidP="00EA13B2">
            <w:pPr>
              <w:spacing w:after="0" w:line="240" w:lineRule="auto"/>
              <w:rPr>
                <w:rFonts w:ascii="Arial" w:eastAsia="Times New Roman" w:hAnsi="Arial" w:cs="Arial"/>
                <w:color w:val="000000"/>
                <w:sz w:val="20"/>
                <w:szCs w:val="20"/>
              </w:rPr>
            </w:pPr>
            <w:r w:rsidRPr="00EA13B2">
              <w:rPr>
                <w:rFonts w:ascii="Arial" w:eastAsia="Times New Roman" w:hAnsi="Arial" w:cs="Arial"/>
                <w:color w:val="000000"/>
                <w:sz w:val="20"/>
                <w:szCs w:val="20"/>
              </w:rPr>
              <w:t xml:space="preserve">Intro to Organic &amp; </w:t>
            </w:r>
            <w:proofErr w:type="spellStart"/>
            <w:r w:rsidRPr="00EA13B2">
              <w:rPr>
                <w:rFonts w:ascii="Arial" w:eastAsia="Times New Roman" w:hAnsi="Arial" w:cs="Arial"/>
                <w:color w:val="000000"/>
                <w:sz w:val="20"/>
                <w:szCs w:val="20"/>
              </w:rPr>
              <w:t>Biochem</w:t>
            </w:r>
            <w:proofErr w:type="spellEnd"/>
          </w:p>
        </w:tc>
        <w:tc>
          <w:tcPr>
            <w:tcW w:w="4163" w:type="dxa"/>
            <w:tcBorders>
              <w:top w:val="nil"/>
              <w:left w:val="nil"/>
              <w:bottom w:val="single" w:sz="4" w:space="0" w:color="auto"/>
              <w:right w:val="single" w:sz="4" w:space="0" w:color="000000"/>
            </w:tcBorders>
            <w:shd w:val="clear" w:color="000000" w:fill="FFFFFF"/>
            <w:vAlign w:val="center"/>
            <w:hideMark/>
          </w:tcPr>
          <w:p w14:paraId="32A68334" w14:textId="5F60051F" w:rsidR="00EA13B2" w:rsidRPr="00EA13B2" w:rsidRDefault="00EA13B2" w:rsidP="00A538B0">
            <w:pPr>
              <w:spacing w:after="0" w:line="240" w:lineRule="auto"/>
              <w:rPr>
                <w:rFonts w:ascii="Arial" w:eastAsia="Times New Roman" w:hAnsi="Arial" w:cs="Arial"/>
                <w:color w:val="000000"/>
                <w:sz w:val="20"/>
                <w:szCs w:val="20"/>
              </w:rPr>
            </w:pPr>
            <w:r w:rsidRPr="00EA13B2">
              <w:rPr>
                <w:rFonts w:ascii="Arial" w:eastAsia="Times New Roman" w:hAnsi="Arial" w:cs="Arial"/>
                <w:color w:val="000000"/>
                <w:sz w:val="20"/>
                <w:szCs w:val="20"/>
              </w:rPr>
              <w:t xml:space="preserve">Change credits </w:t>
            </w:r>
          </w:p>
        </w:tc>
      </w:tr>
      <w:tr w:rsidR="00E2060B" w:rsidRPr="00AB6D25" w14:paraId="295E8FDC" w14:textId="77777777" w:rsidTr="00E2060B">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F0C0358" w14:textId="01FFCAA9" w:rsidR="00E2060B" w:rsidRDefault="00D90E66" w:rsidP="00EA13B2">
            <w:pPr>
              <w:spacing w:after="0" w:line="240" w:lineRule="auto"/>
            </w:pPr>
            <w:hyperlink r:id="rId8" w:history="1">
              <w:r w:rsidR="00E2060B">
                <w:rPr>
                  <w:rStyle w:val="Hyperlink"/>
                  <w:rFonts w:ascii="Calibri" w:hAnsi="Calibri" w:cs="Calibri"/>
                </w:rPr>
                <w:t>MSL 106 U</w:t>
              </w:r>
            </w:hyperlink>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7AE909E0" w14:textId="4D0E680C" w:rsidR="00E2060B" w:rsidRPr="00EA13B2" w:rsidRDefault="00E2060B" w:rsidP="00EA13B2">
            <w:pPr>
              <w:spacing w:after="0" w:line="240" w:lineRule="auto"/>
              <w:rPr>
                <w:rFonts w:ascii="Arial" w:eastAsia="Times New Roman" w:hAnsi="Arial" w:cs="Arial"/>
                <w:color w:val="000000"/>
                <w:sz w:val="20"/>
                <w:szCs w:val="20"/>
              </w:rPr>
            </w:pPr>
            <w:r>
              <w:rPr>
                <w:rFonts w:ascii="Arial" w:hAnsi="Arial" w:cs="Arial"/>
                <w:color w:val="000000"/>
                <w:sz w:val="20"/>
                <w:szCs w:val="20"/>
              </w:rPr>
              <w:t>Army Physical Fitness</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center"/>
          </w:tcPr>
          <w:p w14:paraId="592CDE72" w14:textId="3CBA661C" w:rsidR="00E2060B" w:rsidRPr="00EA13B2" w:rsidRDefault="00E2060B" w:rsidP="00A538B0">
            <w:pPr>
              <w:spacing w:after="0" w:line="240" w:lineRule="auto"/>
              <w:rPr>
                <w:rFonts w:ascii="Arial" w:eastAsia="Times New Roman" w:hAnsi="Arial" w:cs="Arial"/>
                <w:color w:val="000000"/>
                <w:sz w:val="20"/>
                <w:szCs w:val="20"/>
              </w:rPr>
            </w:pPr>
            <w:r>
              <w:rPr>
                <w:rFonts w:ascii="Arial" w:hAnsi="Arial" w:cs="Arial"/>
                <w:color w:val="000000"/>
                <w:sz w:val="20"/>
                <w:szCs w:val="20"/>
              </w:rPr>
              <w:t>Change repeatability (pending Syllabus)</w:t>
            </w:r>
          </w:p>
        </w:tc>
      </w:tr>
      <w:tr w:rsidR="00E2060B" w:rsidRPr="00AB6D25" w14:paraId="76C8314E" w14:textId="77777777" w:rsidTr="00E2060B">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800CB54" w14:textId="55EC112B" w:rsidR="00E2060B" w:rsidRDefault="00D90E66" w:rsidP="00EA13B2">
            <w:pPr>
              <w:spacing w:after="0" w:line="240" w:lineRule="auto"/>
            </w:pPr>
            <w:hyperlink r:id="rId9" w:history="1">
              <w:r w:rsidR="00E2060B">
                <w:rPr>
                  <w:rStyle w:val="Hyperlink"/>
                  <w:rFonts w:ascii="Calibri" w:hAnsi="Calibri" w:cs="Calibri"/>
                </w:rPr>
                <w:t>MSL 303 U</w:t>
              </w:r>
            </w:hyperlink>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61852EAE" w14:textId="5C5B8605" w:rsidR="00E2060B" w:rsidRPr="00EA13B2" w:rsidRDefault="00E2060B" w:rsidP="00EA13B2">
            <w:pPr>
              <w:spacing w:after="0" w:line="240" w:lineRule="auto"/>
              <w:rPr>
                <w:rFonts w:ascii="Arial" w:eastAsia="Times New Roman" w:hAnsi="Arial" w:cs="Arial"/>
                <w:color w:val="000000"/>
                <w:sz w:val="20"/>
                <w:szCs w:val="20"/>
              </w:rPr>
            </w:pPr>
            <w:r>
              <w:rPr>
                <w:rFonts w:ascii="Arial" w:hAnsi="Arial" w:cs="Arial"/>
                <w:color w:val="000000"/>
                <w:sz w:val="20"/>
                <w:szCs w:val="20"/>
              </w:rPr>
              <w:t>Leadership Laboratory</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center"/>
          </w:tcPr>
          <w:p w14:paraId="4D5CA8E5" w14:textId="3E316122" w:rsidR="00E2060B" w:rsidRPr="00EA13B2" w:rsidRDefault="00E2060B" w:rsidP="00A538B0">
            <w:pPr>
              <w:spacing w:after="0" w:line="240" w:lineRule="auto"/>
              <w:rPr>
                <w:rFonts w:ascii="Arial" w:eastAsia="Times New Roman" w:hAnsi="Arial" w:cs="Arial"/>
                <w:color w:val="000000"/>
                <w:sz w:val="20"/>
                <w:szCs w:val="20"/>
              </w:rPr>
            </w:pPr>
            <w:r>
              <w:rPr>
                <w:rFonts w:ascii="Arial" w:hAnsi="Arial" w:cs="Arial"/>
                <w:color w:val="000000"/>
                <w:sz w:val="20"/>
                <w:szCs w:val="20"/>
              </w:rPr>
              <w:t>Change repeatability (pending Syllabus)</w:t>
            </w:r>
          </w:p>
        </w:tc>
      </w:tr>
      <w:tr w:rsidR="00A538B0" w:rsidRPr="00AB6D25" w14:paraId="2E137DAE" w14:textId="77777777" w:rsidTr="00E2060B">
        <w:trPr>
          <w:trHeight w:val="290"/>
        </w:trPr>
        <w:tc>
          <w:tcPr>
            <w:tcW w:w="1440" w:type="dxa"/>
            <w:tcBorders>
              <w:top w:val="single" w:sz="4" w:space="0" w:color="auto"/>
              <w:left w:val="single" w:sz="4" w:space="0" w:color="000000"/>
              <w:bottom w:val="single" w:sz="4" w:space="0" w:color="auto"/>
              <w:right w:val="single" w:sz="4" w:space="0" w:color="000000"/>
            </w:tcBorders>
            <w:shd w:val="clear" w:color="000000" w:fill="FFFFFF"/>
            <w:vAlign w:val="center"/>
          </w:tcPr>
          <w:p w14:paraId="75CD178E" w14:textId="3CC943C5" w:rsidR="00A538B0" w:rsidRPr="00256F57" w:rsidRDefault="00D90E66" w:rsidP="00EA13B2">
            <w:pPr>
              <w:spacing w:after="0" w:line="240" w:lineRule="auto"/>
              <w:rPr>
                <w:rFonts w:ascii="Calibri" w:eastAsia="Times New Roman" w:hAnsi="Calibri" w:cs="Times New Roman"/>
                <w:b/>
                <w:color w:val="000000"/>
              </w:rPr>
            </w:pPr>
            <w:hyperlink r:id="rId10" w:history="1">
              <w:r w:rsidR="00A538B0" w:rsidRPr="00636516">
                <w:rPr>
                  <w:rStyle w:val="Hyperlink"/>
                  <w:rFonts w:ascii="Calibri" w:hAnsi="Calibri" w:cs="Calibri"/>
                </w:rPr>
                <w:t>SW 464 U</w:t>
              </w:r>
            </w:hyperlink>
          </w:p>
        </w:tc>
        <w:tc>
          <w:tcPr>
            <w:tcW w:w="2790" w:type="dxa"/>
            <w:tcBorders>
              <w:top w:val="single" w:sz="4" w:space="0" w:color="auto"/>
              <w:left w:val="nil"/>
              <w:bottom w:val="single" w:sz="4" w:space="0" w:color="auto"/>
              <w:right w:val="single" w:sz="4" w:space="0" w:color="000000"/>
            </w:tcBorders>
            <w:shd w:val="clear" w:color="000000" w:fill="FFFFFF"/>
            <w:vAlign w:val="center"/>
          </w:tcPr>
          <w:p w14:paraId="580D8B42" w14:textId="1039A1F4" w:rsidR="00A538B0" w:rsidRPr="00EA13B2" w:rsidRDefault="00A538B0" w:rsidP="00EA13B2">
            <w:pPr>
              <w:spacing w:after="0" w:line="240" w:lineRule="auto"/>
              <w:rPr>
                <w:rFonts w:ascii="Arial" w:eastAsia="Times New Roman" w:hAnsi="Arial" w:cs="Arial"/>
                <w:color w:val="000000"/>
                <w:sz w:val="20"/>
                <w:szCs w:val="20"/>
              </w:rPr>
            </w:pPr>
            <w:r w:rsidRPr="00636516">
              <w:rPr>
                <w:rFonts w:ascii="Arial" w:hAnsi="Arial" w:cs="Arial"/>
                <w:color w:val="000000"/>
                <w:sz w:val="20"/>
                <w:szCs w:val="20"/>
              </w:rPr>
              <w:t>Valuing Diversity</w:t>
            </w:r>
          </w:p>
        </w:tc>
        <w:tc>
          <w:tcPr>
            <w:tcW w:w="4163" w:type="dxa"/>
            <w:tcBorders>
              <w:top w:val="single" w:sz="4" w:space="0" w:color="auto"/>
              <w:left w:val="nil"/>
              <w:bottom w:val="single" w:sz="4" w:space="0" w:color="auto"/>
              <w:right w:val="single" w:sz="4" w:space="0" w:color="000000"/>
            </w:tcBorders>
            <w:shd w:val="clear" w:color="000000" w:fill="FFFFFF"/>
            <w:vAlign w:val="center"/>
          </w:tcPr>
          <w:p w14:paraId="1AA459BE" w14:textId="18A10F69" w:rsidR="00A538B0" w:rsidRPr="00EA13B2" w:rsidRDefault="00A538B0" w:rsidP="00E2060B">
            <w:pPr>
              <w:spacing w:after="0" w:line="240" w:lineRule="auto"/>
              <w:rPr>
                <w:rFonts w:ascii="Arial" w:eastAsia="Times New Roman" w:hAnsi="Arial" w:cs="Arial"/>
                <w:color w:val="000000"/>
                <w:sz w:val="20"/>
                <w:szCs w:val="20"/>
              </w:rPr>
            </w:pPr>
            <w:r w:rsidRPr="00636516">
              <w:rPr>
                <w:rFonts w:ascii="Arial" w:hAnsi="Arial" w:cs="Arial"/>
                <w:color w:val="000000"/>
                <w:sz w:val="20"/>
                <w:szCs w:val="20"/>
              </w:rPr>
              <w:t xml:space="preserve">New course </w:t>
            </w:r>
          </w:p>
        </w:tc>
      </w:tr>
      <w:tr w:rsidR="00A538B0" w:rsidRPr="00AB6D25" w14:paraId="61F38D2B" w14:textId="77777777" w:rsidTr="00E2060B">
        <w:trPr>
          <w:trHeight w:val="290"/>
        </w:trPr>
        <w:tc>
          <w:tcPr>
            <w:tcW w:w="1440" w:type="dxa"/>
            <w:tcBorders>
              <w:top w:val="nil"/>
              <w:left w:val="single" w:sz="4" w:space="0" w:color="000000"/>
              <w:bottom w:val="single" w:sz="4" w:space="0" w:color="auto"/>
              <w:right w:val="single" w:sz="4" w:space="0" w:color="000000"/>
            </w:tcBorders>
            <w:shd w:val="clear" w:color="000000" w:fill="FFFFFF"/>
            <w:vAlign w:val="center"/>
          </w:tcPr>
          <w:p w14:paraId="7260D9FA" w14:textId="577B9A30" w:rsidR="00A538B0" w:rsidRDefault="00D90E66" w:rsidP="00EA13B2">
            <w:pPr>
              <w:spacing w:after="0" w:line="240" w:lineRule="auto"/>
            </w:pPr>
            <w:hyperlink r:id="rId11" w:history="1">
              <w:r w:rsidR="00A538B0" w:rsidRPr="00636516">
                <w:rPr>
                  <w:rStyle w:val="Hyperlink"/>
                  <w:rFonts w:ascii="Calibri" w:hAnsi="Calibri" w:cs="Calibri"/>
                </w:rPr>
                <w:t>S W 310 U</w:t>
              </w:r>
            </w:hyperlink>
          </w:p>
        </w:tc>
        <w:tc>
          <w:tcPr>
            <w:tcW w:w="2790" w:type="dxa"/>
            <w:tcBorders>
              <w:top w:val="nil"/>
              <w:left w:val="nil"/>
              <w:bottom w:val="single" w:sz="4" w:space="0" w:color="auto"/>
              <w:right w:val="single" w:sz="4" w:space="0" w:color="000000"/>
            </w:tcBorders>
            <w:shd w:val="clear" w:color="000000" w:fill="FFFFFF"/>
            <w:vAlign w:val="center"/>
          </w:tcPr>
          <w:p w14:paraId="08972DFB" w14:textId="3BD70F09" w:rsidR="00A538B0" w:rsidRPr="00636516" w:rsidRDefault="00A538B0" w:rsidP="00EA13B2">
            <w:pPr>
              <w:spacing w:after="0" w:line="240" w:lineRule="auto"/>
              <w:rPr>
                <w:rFonts w:ascii="Arial" w:hAnsi="Arial" w:cs="Arial"/>
                <w:color w:val="000000"/>
                <w:sz w:val="20"/>
                <w:szCs w:val="20"/>
              </w:rPr>
            </w:pPr>
            <w:r w:rsidRPr="00636516">
              <w:rPr>
                <w:rFonts w:ascii="Arial" w:hAnsi="Arial" w:cs="Arial"/>
                <w:color w:val="000000"/>
                <w:sz w:val="20"/>
                <w:szCs w:val="20"/>
              </w:rPr>
              <w:t>S W Policy &amp; Services</w:t>
            </w:r>
          </w:p>
        </w:tc>
        <w:tc>
          <w:tcPr>
            <w:tcW w:w="4163" w:type="dxa"/>
            <w:tcBorders>
              <w:top w:val="nil"/>
              <w:left w:val="nil"/>
              <w:bottom w:val="single" w:sz="4" w:space="0" w:color="auto"/>
              <w:right w:val="single" w:sz="4" w:space="0" w:color="000000"/>
            </w:tcBorders>
            <w:shd w:val="clear" w:color="000000" w:fill="FFFFFF"/>
            <w:vAlign w:val="center"/>
          </w:tcPr>
          <w:p w14:paraId="2ACBA7DD" w14:textId="44689FD1" w:rsidR="00A538B0" w:rsidRPr="00636516" w:rsidRDefault="00A538B0" w:rsidP="00A538B0">
            <w:pPr>
              <w:spacing w:after="0" w:line="240" w:lineRule="auto"/>
              <w:rPr>
                <w:rFonts w:ascii="Arial" w:hAnsi="Arial" w:cs="Arial"/>
                <w:color w:val="000000"/>
                <w:sz w:val="20"/>
                <w:szCs w:val="20"/>
              </w:rPr>
            </w:pPr>
            <w:r w:rsidRPr="00636516">
              <w:rPr>
                <w:rFonts w:ascii="Arial" w:hAnsi="Arial" w:cs="Arial"/>
                <w:color w:val="000000"/>
                <w:sz w:val="20"/>
                <w:szCs w:val="20"/>
              </w:rPr>
              <w:t>Remove Upper Division Writing Designation</w:t>
            </w:r>
          </w:p>
        </w:tc>
      </w:tr>
      <w:tr w:rsidR="00A538B0" w:rsidRPr="00AB6D25" w14:paraId="1FEAEAB4" w14:textId="77777777" w:rsidTr="00E2060B">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17F1239D" w14:textId="123AB47D" w:rsidR="00A538B0" w:rsidRDefault="00A538B0" w:rsidP="00EA13B2">
            <w:pPr>
              <w:spacing w:after="0" w:line="240" w:lineRule="auto"/>
              <w:rPr>
                <w:rFonts w:ascii="Calibri" w:eastAsia="Times New Roman" w:hAnsi="Calibri" w:cs="Times New Roman"/>
                <w:color w:val="000000"/>
              </w:rPr>
            </w:pPr>
            <w:r w:rsidRPr="00636516">
              <w:rPr>
                <w:rFonts w:ascii="Calibri" w:eastAsia="Times New Roman" w:hAnsi="Calibri" w:cs="Times New Roman"/>
                <w:color w:val="000000"/>
              </w:rPr>
              <w:t>Program Modification</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tcPr>
          <w:p w14:paraId="18EFF4F6" w14:textId="44F47A83" w:rsidR="00A538B0" w:rsidRDefault="00A538B0" w:rsidP="00EA13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Social Work </w:t>
            </w:r>
            <w:r w:rsidRPr="00636516">
              <w:rPr>
                <w:rFonts w:ascii="Calibri" w:eastAsia="Times New Roman" w:hAnsi="Calibri" w:cs="Times New Roman"/>
                <w:color w:val="000000"/>
              </w:rPr>
              <w:t>Major</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bottom"/>
          </w:tcPr>
          <w:p w14:paraId="48953A50" w14:textId="1544C4FB" w:rsidR="00A538B0" w:rsidRPr="00A410A0" w:rsidRDefault="00A538B0" w:rsidP="00A538B0">
            <w:pPr>
              <w:spacing w:after="0" w:line="240" w:lineRule="auto"/>
              <w:rPr>
                <w:rFonts w:ascii="Calibri" w:eastAsia="Times New Roman" w:hAnsi="Calibri" w:cs="Times New Roman"/>
                <w:color w:val="000000"/>
              </w:rPr>
            </w:pPr>
            <w:r w:rsidRPr="00636516">
              <w:rPr>
                <w:rFonts w:ascii="Calibri" w:eastAsia="Times New Roman" w:hAnsi="Calibri" w:cs="Times New Roman"/>
                <w:color w:val="000000"/>
              </w:rPr>
              <w:t>Update course offerings</w:t>
            </w:r>
          </w:p>
        </w:tc>
      </w:tr>
      <w:tr w:rsidR="00E2060B" w:rsidRPr="00AB6D25" w14:paraId="47D5688C" w14:textId="77777777" w:rsidTr="00E2060B">
        <w:trPr>
          <w:trHeight w:val="290"/>
        </w:trPr>
        <w:tc>
          <w:tcPr>
            <w:tcW w:w="1440"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78745CA" w14:textId="6144E755" w:rsidR="00E2060B" w:rsidRPr="00636516" w:rsidRDefault="00E2060B" w:rsidP="00EA13B2">
            <w:pPr>
              <w:spacing w:after="0" w:line="240" w:lineRule="auto"/>
              <w:rPr>
                <w:rFonts w:ascii="Calibri" w:eastAsia="Times New Roman" w:hAnsi="Calibri" w:cs="Times New Roman"/>
                <w:color w:val="000000"/>
              </w:rPr>
            </w:pPr>
            <w:r>
              <w:t xml:space="preserve">Program Modification </w:t>
            </w:r>
          </w:p>
        </w:tc>
        <w:tc>
          <w:tcPr>
            <w:tcW w:w="2790" w:type="dxa"/>
            <w:tcBorders>
              <w:top w:val="single" w:sz="4" w:space="0" w:color="auto"/>
              <w:left w:val="nil"/>
              <w:bottom w:val="single" w:sz="4" w:space="0" w:color="auto"/>
              <w:right w:val="single" w:sz="4" w:space="0" w:color="000000"/>
            </w:tcBorders>
            <w:shd w:val="clear" w:color="000000" w:fill="FFFFFF"/>
            <w:vAlign w:val="center"/>
          </w:tcPr>
          <w:p w14:paraId="0B8D280F" w14:textId="2B6B9E91" w:rsidR="00E2060B" w:rsidRDefault="00E2060B" w:rsidP="00EA13B2">
            <w:pPr>
              <w:spacing w:after="0" w:line="240" w:lineRule="auto"/>
              <w:rPr>
                <w:rFonts w:ascii="Calibri" w:eastAsia="Times New Roman" w:hAnsi="Calibri" w:cs="Times New Roman"/>
                <w:color w:val="000000"/>
              </w:rPr>
            </w:pPr>
            <w:r>
              <w:rPr>
                <w:rFonts w:ascii="Arial" w:eastAsia="Times New Roman" w:hAnsi="Arial" w:cs="Arial"/>
                <w:color w:val="000000"/>
                <w:sz w:val="20"/>
                <w:szCs w:val="20"/>
              </w:rPr>
              <w:t>Native American Studies Major</w:t>
            </w:r>
          </w:p>
        </w:tc>
        <w:tc>
          <w:tcPr>
            <w:tcW w:w="4163" w:type="dxa"/>
            <w:tcBorders>
              <w:top w:val="single" w:sz="4" w:space="0" w:color="auto"/>
              <w:left w:val="nil"/>
              <w:bottom w:val="single" w:sz="4" w:space="0" w:color="auto"/>
              <w:right w:val="single" w:sz="4" w:space="0" w:color="000000"/>
            </w:tcBorders>
            <w:shd w:val="clear" w:color="000000" w:fill="FFFFFF"/>
            <w:vAlign w:val="center"/>
          </w:tcPr>
          <w:p w14:paraId="41467A7A" w14:textId="11027051" w:rsidR="00E2060B" w:rsidRPr="00636516" w:rsidRDefault="00E2060B" w:rsidP="00A538B0">
            <w:pPr>
              <w:spacing w:after="0" w:line="240" w:lineRule="auto"/>
              <w:rPr>
                <w:rFonts w:ascii="Calibri" w:eastAsia="Times New Roman" w:hAnsi="Calibri" w:cs="Times New Roman"/>
                <w:color w:val="000000"/>
              </w:rPr>
            </w:pPr>
            <w:r>
              <w:rPr>
                <w:rFonts w:ascii="Arial" w:eastAsia="Times New Roman" w:hAnsi="Arial" w:cs="Arial"/>
                <w:color w:val="000000"/>
                <w:sz w:val="20"/>
                <w:szCs w:val="20"/>
              </w:rPr>
              <w:t>Adjust core requirements (pending catalog language)</w:t>
            </w:r>
          </w:p>
        </w:tc>
      </w:tr>
    </w:tbl>
    <w:p w14:paraId="5A556503" w14:textId="77777777" w:rsidR="000C30DB" w:rsidRDefault="000C30DB" w:rsidP="000C30DB">
      <w:pPr>
        <w:pStyle w:val="ListParagraph"/>
      </w:pPr>
    </w:p>
    <w:p w14:paraId="26F2DC9F" w14:textId="77777777" w:rsidR="00DB44DB" w:rsidRDefault="00DB44DB" w:rsidP="00DB44DB">
      <w:pPr>
        <w:pStyle w:val="ListParagraph"/>
      </w:pPr>
    </w:p>
    <w:p w14:paraId="3A4EB81A" w14:textId="3C3582E7" w:rsidR="00E50F15" w:rsidRDefault="00E2060B" w:rsidP="00DB44DB">
      <w:pPr>
        <w:pStyle w:val="ListParagraph"/>
        <w:numPr>
          <w:ilvl w:val="0"/>
          <w:numId w:val="29"/>
        </w:numPr>
      </w:pPr>
      <w:r>
        <w:t xml:space="preserve">The General Education Consent agenda below was approved.  </w:t>
      </w:r>
      <w:r w:rsidR="00494A60">
        <w:t xml:space="preserve"> </w:t>
      </w:r>
    </w:p>
    <w:tbl>
      <w:tblPr>
        <w:tblW w:w="8257" w:type="dxa"/>
        <w:tblInd w:w="1098" w:type="dxa"/>
        <w:tblLook w:val="04A0" w:firstRow="1" w:lastRow="0" w:firstColumn="1" w:lastColumn="0" w:noHBand="0" w:noVBand="1"/>
      </w:tblPr>
      <w:tblGrid>
        <w:gridCol w:w="2610"/>
        <w:gridCol w:w="2880"/>
        <w:gridCol w:w="2767"/>
      </w:tblGrid>
      <w:tr w:rsidR="00E2060B" w:rsidRPr="00B245D5" w14:paraId="2AC7B942" w14:textId="77777777" w:rsidTr="00E2060B">
        <w:trPr>
          <w:trHeight w:val="290"/>
        </w:trPr>
        <w:tc>
          <w:tcPr>
            <w:tcW w:w="2610" w:type="dxa"/>
            <w:tcBorders>
              <w:top w:val="single" w:sz="4" w:space="0" w:color="auto"/>
              <w:left w:val="single" w:sz="4" w:space="0" w:color="000000"/>
              <w:bottom w:val="single" w:sz="4" w:space="0" w:color="auto"/>
              <w:right w:val="single" w:sz="4" w:space="0" w:color="000000"/>
            </w:tcBorders>
            <w:shd w:val="clear" w:color="000000" w:fill="FFFFFF"/>
            <w:vAlign w:val="center"/>
          </w:tcPr>
          <w:p w14:paraId="4B9396B6" w14:textId="77777777" w:rsidR="00E2060B" w:rsidRPr="00B245D5" w:rsidRDefault="00E2060B" w:rsidP="004E6F49">
            <w:pPr>
              <w:spacing w:after="0" w:line="240" w:lineRule="auto"/>
              <w:rPr>
                <w:b/>
              </w:rPr>
            </w:pPr>
            <w:r w:rsidRPr="00B245D5">
              <w:rPr>
                <w:b/>
              </w:rPr>
              <w:t>Course Number</w:t>
            </w:r>
          </w:p>
        </w:tc>
        <w:tc>
          <w:tcPr>
            <w:tcW w:w="2880" w:type="dxa"/>
            <w:tcBorders>
              <w:top w:val="single" w:sz="4" w:space="0" w:color="auto"/>
              <w:left w:val="nil"/>
              <w:bottom w:val="single" w:sz="4" w:space="0" w:color="auto"/>
              <w:right w:val="single" w:sz="4" w:space="0" w:color="000000"/>
            </w:tcBorders>
            <w:shd w:val="clear" w:color="000000" w:fill="FFFFFF"/>
            <w:vAlign w:val="center"/>
          </w:tcPr>
          <w:p w14:paraId="78098EF8" w14:textId="77777777" w:rsidR="00E2060B" w:rsidRPr="00B245D5" w:rsidRDefault="00E2060B" w:rsidP="004E6F49">
            <w:pPr>
              <w:spacing w:after="0" w:line="240" w:lineRule="auto"/>
              <w:rPr>
                <w:rFonts w:ascii="Arial" w:eastAsia="Times New Roman" w:hAnsi="Arial" w:cs="Arial"/>
                <w:b/>
                <w:color w:val="000000"/>
                <w:sz w:val="20"/>
                <w:szCs w:val="20"/>
              </w:rPr>
            </w:pPr>
            <w:r w:rsidRPr="00B245D5">
              <w:rPr>
                <w:rFonts w:ascii="Arial" w:eastAsia="Times New Roman" w:hAnsi="Arial" w:cs="Arial"/>
                <w:b/>
                <w:color w:val="000000"/>
                <w:sz w:val="20"/>
                <w:szCs w:val="20"/>
              </w:rPr>
              <w:t xml:space="preserve">Title </w:t>
            </w:r>
          </w:p>
        </w:tc>
        <w:tc>
          <w:tcPr>
            <w:tcW w:w="2767" w:type="dxa"/>
            <w:tcBorders>
              <w:top w:val="single" w:sz="4" w:space="0" w:color="auto"/>
              <w:left w:val="nil"/>
              <w:bottom w:val="single" w:sz="4" w:space="0" w:color="auto"/>
              <w:right w:val="single" w:sz="4" w:space="0" w:color="000000"/>
            </w:tcBorders>
            <w:shd w:val="clear" w:color="000000" w:fill="FFFFFF"/>
            <w:vAlign w:val="center"/>
          </w:tcPr>
          <w:p w14:paraId="21BEAB8B" w14:textId="77777777" w:rsidR="00E2060B" w:rsidRPr="00B245D5" w:rsidRDefault="00E2060B" w:rsidP="004E6F49">
            <w:pPr>
              <w:spacing w:after="0" w:line="240" w:lineRule="auto"/>
              <w:rPr>
                <w:rFonts w:ascii="Arial" w:eastAsia="Times New Roman" w:hAnsi="Arial" w:cs="Arial"/>
                <w:b/>
                <w:color w:val="000000"/>
                <w:sz w:val="20"/>
                <w:szCs w:val="20"/>
              </w:rPr>
            </w:pPr>
            <w:r w:rsidRPr="00B245D5">
              <w:rPr>
                <w:rFonts w:ascii="Arial" w:eastAsia="Times New Roman" w:hAnsi="Arial" w:cs="Arial"/>
                <w:b/>
                <w:color w:val="000000"/>
                <w:sz w:val="20"/>
                <w:szCs w:val="20"/>
              </w:rPr>
              <w:t>Group</w:t>
            </w:r>
          </w:p>
        </w:tc>
      </w:tr>
      <w:tr w:rsidR="00E2060B" w:rsidRPr="0073084E" w14:paraId="666F1504" w14:textId="77777777" w:rsidTr="00E2060B">
        <w:trPr>
          <w:trHeight w:val="290"/>
        </w:trPr>
        <w:tc>
          <w:tcPr>
            <w:tcW w:w="2610" w:type="dxa"/>
            <w:tcBorders>
              <w:top w:val="nil"/>
              <w:left w:val="single" w:sz="4" w:space="0" w:color="000000"/>
              <w:bottom w:val="single" w:sz="4" w:space="0" w:color="auto"/>
              <w:right w:val="single" w:sz="4" w:space="0" w:color="000000"/>
            </w:tcBorders>
            <w:shd w:val="clear" w:color="000000" w:fill="FFFFFF"/>
            <w:vAlign w:val="center"/>
          </w:tcPr>
          <w:p w14:paraId="4B1AD093" w14:textId="77777777" w:rsidR="00E2060B" w:rsidRPr="0073084E" w:rsidRDefault="00E2060B" w:rsidP="004E6F49">
            <w:pPr>
              <w:spacing w:after="0" w:line="240" w:lineRule="auto"/>
              <w:rPr>
                <w:rFonts w:ascii="Calibri" w:eastAsia="Times New Roman" w:hAnsi="Calibri" w:cs="Times New Roman"/>
                <w:color w:val="0563C1"/>
                <w:u w:val="single"/>
              </w:rPr>
            </w:pPr>
            <w:r>
              <w:t>GH 191 (one-time-only)</w:t>
            </w:r>
          </w:p>
        </w:tc>
        <w:tc>
          <w:tcPr>
            <w:tcW w:w="2880" w:type="dxa"/>
            <w:tcBorders>
              <w:top w:val="nil"/>
              <w:left w:val="nil"/>
              <w:bottom w:val="single" w:sz="4" w:space="0" w:color="auto"/>
              <w:right w:val="single" w:sz="4" w:space="0" w:color="000000"/>
            </w:tcBorders>
            <w:shd w:val="clear" w:color="000000" w:fill="FFFFFF"/>
            <w:vAlign w:val="center"/>
          </w:tcPr>
          <w:p w14:paraId="5EC068B3" w14:textId="77777777" w:rsidR="00E2060B" w:rsidRPr="00B245D5" w:rsidRDefault="00E2060B" w:rsidP="004E6F49">
            <w:pPr>
              <w:spacing w:after="0" w:line="240" w:lineRule="auto"/>
              <w:rPr>
                <w:rFonts w:ascii="Arial" w:eastAsia="Times New Roman" w:hAnsi="Arial" w:cs="Arial"/>
                <w:color w:val="000000"/>
                <w:sz w:val="20"/>
                <w:szCs w:val="20"/>
              </w:rPr>
            </w:pPr>
            <w:r w:rsidRPr="00B245D5">
              <w:rPr>
                <w:rFonts w:ascii="Arial" w:hAnsi="Arial" w:cs="Arial"/>
                <w:color w:val="000000"/>
                <w:sz w:val="20"/>
                <w:szCs w:val="20"/>
              </w:rPr>
              <w:t>Goddesses</w:t>
            </w:r>
          </w:p>
        </w:tc>
        <w:tc>
          <w:tcPr>
            <w:tcW w:w="2767" w:type="dxa"/>
            <w:tcBorders>
              <w:top w:val="nil"/>
              <w:left w:val="nil"/>
              <w:bottom w:val="single" w:sz="4" w:space="0" w:color="auto"/>
              <w:right w:val="single" w:sz="4" w:space="0" w:color="000000"/>
            </w:tcBorders>
            <w:shd w:val="clear" w:color="000000" w:fill="FFFFFF"/>
            <w:vAlign w:val="center"/>
          </w:tcPr>
          <w:p w14:paraId="167D77F1" w14:textId="77777777" w:rsidR="00E2060B" w:rsidRPr="0073084E" w:rsidRDefault="00E2060B" w:rsidP="004E6F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Liberal &amp; Artistic Studies</w:t>
            </w:r>
          </w:p>
        </w:tc>
      </w:tr>
      <w:tr w:rsidR="00E2060B" w:rsidRPr="0073084E" w14:paraId="3698E5B1" w14:textId="77777777" w:rsidTr="00E2060B">
        <w:trPr>
          <w:trHeight w:val="290"/>
        </w:trPr>
        <w:tc>
          <w:tcPr>
            <w:tcW w:w="2610" w:type="dxa"/>
            <w:tcBorders>
              <w:top w:val="single" w:sz="4" w:space="0" w:color="auto"/>
              <w:left w:val="single" w:sz="4" w:space="0" w:color="000000"/>
              <w:bottom w:val="single" w:sz="4" w:space="0" w:color="auto"/>
              <w:right w:val="single" w:sz="4" w:space="0" w:color="000000"/>
            </w:tcBorders>
            <w:shd w:val="clear" w:color="000000" w:fill="FFFFFF"/>
            <w:vAlign w:val="center"/>
          </w:tcPr>
          <w:p w14:paraId="4E862AB2" w14:textId="77777777" w:rsidR="00E2060B" w:rsidRDefault="00E2060B" w:rsidP="004E6F49">
            <w:pPr>
              <w:spacing w:after="0" w:line="240" w:lineRule="auto"/>
            </w:pPr>
            <w:r>
              <w:lastRenderedPageBreak/>
              <w:t>HSTR 291 (one-time-only)</w:t>
            </w:r>
          </w:p>
        </w:tc>
        <w:tc>
          <w:tcPr>
            <w:tcW w:w="2880" w:type="dxa"/>
            <w:tcBorders>
              <w:top w:val="single" w:sz="4" w:space="0" w:color="auto"/>
              <w:left w:val="nil"/>
              <w:bottom w:val="single" w:sz="4" w:space="0" w:color="auto"/>
              <w:right w:val="single" w:sz="4" w:space="0" w:color="000000"/>
            </w:tcBorders>
            <w:shd w:val="clear" w:color="000000" w:fill="FFFFFF"/>
            <w:vAlign w:val="center"/>
          </w:tcPr>
          <w:p w14:paraId="0C20CC41" w14:textId="77777777" w:rsidR="00E2060B" w:rsidRPr="00B245D5" w:rsidRDefault="00E2060B" w:rsidP="004E6F49">
            <w:pPr>
              <w:spacing w:after="0" w:line="240" w:lineRule="auto"/>
              <w:rPr>
                <w:rFonts w:ascii="Arial" w:eastAsia="Times New Roman" w:hAnsi="Arial" w:cs="Arial"/>
                <w:color w:val="000000"/>
                <w:sz w:val="20"/>
                <w:szCs w:val="20"/>
              </w:rPr>
            </w:pPr>
            <w:r w:rsidRPr="00B245D5">
              <w:t>The Rise and Fall of Apartheid</w:t>
            </w:r>
          </w:p>
        </w:tc>
        <w:tc>
          <w:tcPr>
            <w:tcW w:w="2767" w:type="dxa"/>
            <w:tcBorders>
              <w:top w:val="single" w:sz="4" w:space="0" w:color="auto"/>
              <w:left w:val="nil"/>
              <w:bottom w:val="single" w:sz="4" w:space="0" w:color="auto"/>
              <w:right w:val="single" w:sz="4" w:space="0" w:color="000000"/>
            </w:tcBorders>
            <w:shd w:val="clear" w:color="000000" w:fill="FFFFFF"/>
            <w:vAlign w:val="center"/>
          </w:tcPr>
          <w:p w14:paraId="61488811" w14:textId="77777777" w:rsidR="00E2060B" w:rsidRPr="0073084E" w:rsidRDefault="00E2060B" w:rsidP="004E6F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Historical Studies</w:t>
            </w:r>
          </w:p>
        </w:tc>
      </w:tr>
      <w:tr w:rsidR="00E2060B" w14:paraId="7F01F490" w14:textId="77777777" w:rsidTr="00E2060B">
        <w:trPr>
          <w:trHeight w:val="290"/>
        </w:trPr>
        <w:tc>
          <w:tcPr>
            <w:tcW w:w="2610"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2B09843" w14:textId="77777777" w:rsidR="00E2060B" w:rsidRDefault="00E2060B" w:rsidP="004E6F49">
            <w:pPr>
              <w:spacing w:after="0" w:line="240" w:lineRule="auto"/>
            </w:pPr>
            <w:r>
              <w:t>SOCI 260</w:t>
            </w:r>
          </w:p>
        </w:tc>
        <w:tc>
          <w:tcPr>
            <w:tcW w:w="2880" w:type="dxa"/>
            <w:tcBorders>
              <w:top w:val="single" w:sz="4" w:space="0" w:color="auto"/>
              <w:left w:val="nil"/>
              <w:bottom w:val="single" w:sz="4" w:space="0" w:color="auto"/>
              <w:right w:val="single" w:sz="4" w:space="0" w:color="000000"/>
            </w:tcBorders>
            <w:shd w:val="clear" w:color="000000" w:fill="FFFFFF"/>
            <w:vAlign w:val="center"/>
          </w:tcPr>
          <w:p w14:paraId="6BCDF776" w14:textId="77777777" w:rsidR="00E2060B" w:rsidRPr="00B245D5" w:rsidRDefault="00E2060B" w:rsidP="004E6F49">
            <w:pPr>
              <w:spacing w:after="0" w:line="240" w:lineRule="auto"/>
              <w:rPr>
                <w:rFonts w:ascii="Arial" w:eastAsia="Times New Roman" w:hAnsi="Arial" w:cs="Arial"/>
                <w:color w:val="000000"/>
                <w:sz w:val="20"/>
                <w:szCs w:val="20"/>
              </w:rPr>
            </w:pPr>
            <w:r w:rsidRPr="00B245D5">
              <w:rPr>
                <w:rFonts w:ascii="Arial" w:hAnsi="Arial" w:cs="Arial"/>
                <w:color w:val="000000"/>
                <w:sz w:val="20"/>
                <w:szCs w:val="20"/>
              </w:rPr>
              <w:t>Intro to Juvenile Delinquency</w:t>
            </w:r>
          </w:p>
        </w:tc>
        <w:tc>
          <w:tcPr>
            <w:tcW w:w="2767" w:type="dxa"/>
            <w:tcBorders>
              <w:top w:val="single" w:sz="4" w:space="0" w:color="auto"/>
              <w:left w:val="nil"/>
              <w:bottom w:val="single" w:sz="4" w:space="0" w:color="auto"/>
              <w:right w:val="single" w:sz="4" w:space="0" w:color="000000"/>
            </w:tcBorders>
            <w:shd w:val="clear" w:color="000000" w:fill="FFFFFF"/>
            <w:vAlign w:val="center"/>
          </w:tcPr>
          <w:p w14:paraId="579B61C0" w14:textId="77777777" w:rsidR="00E2060B" w:rsidRDefault="00E2060B" w:rsidP="004E6F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Social Science</w:t>
            </w:r>
          </w:p>
        </w:tc>
      </w:tr>
    </w:tbl>
    <w:p w14:paraId="6BEBAE88" w14:textId="77777777" w:rsidR="00E2060B" w:rsidRDefault="00E2060B" w:rsidP="00E2060B">
      <w:pPr>
        <w:pStyle w:val="ListParagraph"/>
      </w:pPr>
    </w:p>
    <w:p w14:paraId="29025697" w14:textId="569CEAC3" w:rsidR="00037907" w:rsidRDefault="00E2060B" w:rsidP="00037907">
      <w:pPr>
        <w:pStyle w:val="ListParagraph"/>
        <w:numPr>
          <w:ilvl w:val="0"/>
          <w:numId w:val="29"/>
        </w:numPr>
        <w:tabs>
          <w:tab w:val="left" w:pos="720"/>
        </w:tabs>
        <w:spacing w:before="100" w:beforeAutospacing="1" w:after="100" w:afterAutospacing="1"/>
      </w:pPr>
      <w:r>
        <w:t xml:space="preserve">ASCRC discussed the Prerequisite communication and proposed default course description language for Intermediate and Advanced Writing Courses. The default language was amended </w:t>
      </w:r>
      <w:r w:rsidR="00037907">
        <w:t xml:space="preserve">as stated below </w:t>
      </w:r>
      <w:r>
        <w:t xml:space="preserve">since the prerequisites would not be enforced. </w:t>
      </w:r>
      <w:r w:rsidR="00037907">
        <w:t xml:space="preserve"> Departments were given the opportunity to change the language or opt out.  Anthropology and Environmental Studies responded to the correspondence.   The item will be forwarded to the Faculty Senate</w:t>
      </w:r>
      <w:r w:rsidR="00037907">
        <w:br/>
      </w:r>
    </w:p>
    <w:p w14:paraId="11672DD2" w14:textId="77777777" w:rsidR="00037907" w:rsidRPr="00037907" w:rsidRDefault="00037907" w:rsidP="00037907">
      <w:pPr>
        <w:pStyle w:val="ListParagraph"/>
        <w:numPr>
          <w:ilvl w:val="1"/>
          <w:numId w:val="29"/>
        </w:numPr>
        <w:tabs>
          <w:tab w:val="left" w:pos="1350"/>
        </w:tabs>
        <w:spacing w:before="100" w:beforeAutospacing="1" w:after="100" w:afterAutospacing="1"/>
        <w:ind w:left="1350" w:hanging="540"/>
        <w:rPr>
          <w:rFonts w:cstheme="minorHAnsi"/>
        </w:rPr>
      </w:pPr>
      <w:r w:rsidRPr="00037907">
        <w:rPr>
          <w:rFonts w:cstheme="minorHAnsi"/>
          <w:bCs/>
        </w:rPr>
        <w:t>For Intermediate Writing Courses: Before enrolling in this course, students are expected to complete WRIT 101 (or higher) or equivalent</w:t>
      </w:r>
    </w:p>
    <w:p w14:paraId="14FF978F" w14:textId="4E78B1C8" w:rsidR="00037907" w:rsidRPr="00037907" w:rsidRDefault="00037907" w:rsidP="00037907">
      <w:pPr>
        <w:pStyle w:val="ListParagraph"/>
        <w:numPr>
          <w:ilvl w:val="1"/>
          <w:numId w:val="29"/>
        </w:numPr>
        <w:tabs>
          <w:tab w:val="left" w:pos="1350"/>
        </w:tabs>
        <w:spacing w:before="100" w:beforeAutospacing="1" w:after="100" w:afterAutospacing="1"/>
        <w:ind w:left="1350" w:hanging="540"/>
        <w:rPr>
          <w:rFonts w:cstheme="minorHAnsi"/>
        </w:rPr>
      </w:pPr>
      <w:r w:rsidRPr="00037907">
        <w:rPr>
          <w:rFonts w:cstheme="minorHAnsi"/>
          <w:bCs/>
        </w:rPr>
        <w:t>For Advanced Writing Courses: Before enrolling in this course, students are expected to complete WRIT 101 or equivalent, AND one Intermediate Writing Course</w:t>
      </w:r>
      <w:r>
        <w:rPr>
          <w:rFonts w:cstheme="minorHAnsi"/>
          <w:bCs/>
        </w:rPr>
        <w:br/>
      </w:r>
    </w:p>
    <w:p w14:paraId="09103526" w14:textId="009D7896" w:rsidR="00E2060B" w:rsidRDefault="00037907" w:rsidP="00037907">
      <w:pPr>
        <w:pStyle w:val="ListParagraph"/>
        <w:numPr>
          <w:ilvl w:val="0"/>
          <w:numId w:val="29"/>
        </w:numPr>
      </w:pPr>
      <w:r>
        <w:t xml:space="preserve">The updated syllabus guidelines appended were approved. </w:t>
      </w:r>
      <w:r>
        <w:br/>
      </w:r>
    </w:p>
    <w:p w14:paraId="3427D208" w14:textId="2C16BB3D" w:rsidR="00037907" w:rsidRDefault="00037907" w:rsidP="00037907">
      <w:pPr>
        <w:pStyle w:val="ListParagraph"/>
        <w:numPr>
          <w:ilvl w:val="0"/>
          <w:numId w:val="29"/>
        </w:numPr>
      </w:pPr>
      <w:r>
        <w:t xml:space="preserve">ASCRC discussed and slightly amended the transfer credit rounding motion (appended). It will be retroactive to any active catalog. </w:t>
      </w:r>
      <w:r>
        <w:br/>
      </w:r>
    </w:p>
    <w:p w14:paraId="32C1D9B8" w14:textId="547248D6" w:rsidR="00CD4563" w:rsidRDefault="00037907" w:rsidP="00037907">
      <w:pPr>
        <w:pStyle w:val="ListParagraph"/>
        <w:numPr>
          <w:ilvl w:val="0"/>
          <w:numId w:val="29"/>
        </w:numPr>
        <w:spacing w:after="160" w:line="259" w:lineRule="auto"/>
        <w:rPr>
          <w:rFonts w:cstheme="minorHAnsi"/>
        </w:rPr>
      </w:pPr>
      <w:r w:rsidRPr="00CD4563">
        <w:rPr>
          <w:rFonts w:cstheme="minorHAnsi"/>
        </w:rPr>
        <w:t xml:space="preserve">The revisions to the General Education Subcommittee Procedures (202.4.1) and Requesting Reconsideration of a Rejected Curriculum Proposal (201.30.4) were approved. </w:t>
      </w:r>
      <w:r w:rsidR="00CD4563">
        <w:rPr>
          <w:rFonts w:cstheme="minorHAnsi"/>
        </w:rPr>
        <w:br/>
      </w:r>
    </w:p>
    <w:p w14:paraId="049F9E34" w14:textId="0051C454" w:rsidR="00037907" w:rsidRPr="00CD4563" w:rsidRDefault="00CD4563" w:rsidP="00037907">
      <w:pPr>
        <w:pStyle w:val="ListParagraph"/>
        <w:numPr>
          <w:ilvl w:val="0"/>
          <w:numId w:val="29"/>
        </w:numPr>
        <w:spacing w:after="160" w:line="259" w:lineRule="auto"/>
        <w:rPr>
          <w:rFonts w:cstheme="minorHAnsi"/>
        </w:rPr>
      </w:pPr>
      <w:r>
        <w:rPr>
          <w:rFonts w:cstheme="minorHAnsi"/>
        </w:rPr>
        <w:t xml:space="preserve">After discussion the Double Major / Dual Degree language appended was approved. </w:t>
      </w:r>
      <w:r w:rsidR="0030427D">
        <w:rPr>
          <w:rFonts w:cstheme="minorHAnsi"/>
        </w:rPr>
        <w:t xml:space="preserve"> Colorado State and Stanford award a Bachelor of Arts and Sciences for students with double majors across degree types.  This would require BOR consideration.  For now the catalog language will clarify how the degree will show on the diploma to avoid student confusion. </w:t>
      </w:r>
      <w:r w:rsidRPr="00CD4563">
        <w:rPr>
          <w:rFonts w:cstheme="minorHAnsi"/>
        </w:rPr>
        <w:br/>
      </w:r>
    </w:p>
    <w:p w14:paraId="344A2F33" w14:textId="5C575707" w:rsidR="00CD4563" w:rsidRDefault="00CD4563" w:rsidP="00037907">
      <w:pPr>
        <w:pStyle w:val="ListParagraph"/>
        <w:numPr>
          <w:ilvl w:val="0"/>
          <w:numId w:val="29"/>
        </w:numPr>
      </w:pPr>
      <w:r>
        <w:t xml:space="preserve">Chair Coffin drafted catalog language for the IB Diploma policy.  He is waiting to hear back from Dean Tessman and Violet in </w:t>
      </w:r>
      <w:r w:rsidR="00A231E4">
        <w:t>A</w:t>
      </w:r>
      <w:r>
        <w:t xml:space="preserve">dmissions.  ASCRC will discuss this at the next meeting. </w:t>
      </w:r>
      <w:r>
        <w:br/>
      </w:r>
    </w:p>
    <w:p w14:paraId="2636C4F3" w14:textId="432F5776" w:rsidR="0030427D" w:rsidRDefault="00CD4563" w:rsidP="00037907">
      <w:pPr>
        <w:pStyle w:val="ListParagraph"/>
        <w:numPr>
          <w:ilvl w:val="0"/>
          <w:numId w:val="29"/>
        </w:numPr>
      </w:pPr>
      <w:r>
        <w:t xml:space="preserve">Chair Coffin met with ECOS last week and asked about the student success initiatives.  They suggested </w:t>
      </w:r>
      <w:r w:rsidR="00A231E4">
        <w:t>waiting</w:t>
      </w:r>
      <w:r>
        <w:t xml:space="preserve"> until after the down- sizing decisions are made and the </w:t>
      </w:r>
      <w:r w:rsidR="00A231E4">
        <w:t xml:space="preserve">restructuring has time to settle to bring the issues to a wider audience.  The proposals will be included in ASCRC’s annual report and may be discussed with the President.  Chair Coffin has had email exchanges with the President regarding aligning efforts around student success and recruitment.  </w:t>
      </w:r>
      <w:r w:rsidR="0030427D">
        <w:br/>
      </w:r>
    </w:p>
    <w:p w14:paraId="4BB87355" w14:textId="5E660C4A" w:rsidR="00A231E4" w:rsidRDefault="0030427D" w:rsidP="00037907">
      <w:pPr>
        <w:pStyle w:val="ListParagraph"/>
        <w:numPr>
          <w:ilvl w:val="0"/>
          <w:numId w:val="29"/>
        </w:numPr>
      </w:pPr>
      <w:r>
        <w:t xml:space="preserve">Chair Coffin is also planning to draft withdrawal catalog language before the end of the semester.  </w:t>
      </w:r>
      <w:r w:rsidR="00A231E4">
        <w:br/>
      </w:r>
    </w:p>
    <w:p w14:paraId="70A07568" w14:textId="0C3F9A03" w:rsidR="00037907" w:rsidRDefault="00A231E4" w:rsidP="00037907">
      <w:pPr>
        <w:pStyle w:val="ListParagraph"/>
        <w:numPr>
          <w:ilvl w:val="0"/>
          <w:numId w:val="29"/>
        </w:numPr>
      </w:pPr>
      <w:r>
        <w:t xml:space="preserve">President </w:t>
      </w:r>
      <w:proofErr w:type="spellStart"/>
      <w:r>
        <w:t>Bodnar</w:t>
      </w:r>
      <w:proofErr w:type="spellEnd"/>
      <w:r>
        <w:t xml:space="preserve"> had a good discussion with Graduate Council.   He asked what makes a successful graduate program.  He will likely ask ASCRC something similar regarding undergraduate programs.   Chair Coffin will circulate some talking points to committee members </w:t>
      </w:r>
      <w:r>
        <w:lastRenderedPageBreak/>
        <w:t xml:space="preserve">and provide the president with the Committee’s charge and a summary of business prior to the meeting.  </w:t>
      </w:r>
      <w:r w:rsidR="00CD4563">
        <w:br/>
      </w:r>
    </w:p>
    <w:p w14:paraId="0350CEE0" w14:textId="736C43C0" w:rsidR="00CD4563" w:rsidRDefault="00CD4563" w:rsidP="00037907">
      <w:pPr>
        <w:pStyle w:val="ListParagraph"/>
        <w:numPr>
          <w:ilvl w:val="0"/>
          <w:numId w:val="29"/>
        </w:numPr>
      </w:pPr>
      <w:r>
        <w:t xml:space="preserve">Consideration of the request from the Chair of Chemistry was postponed.  </w:t>
      </w:r>
    </w:p>
    <w:p w14:paraId="1FE92CA4" w14:textId="2F113D5E" w:rsidR="003E37BF" w:rsidRDefault="006D08A7" w:rsidP="0055551D">
      <w:pPr>
        <w:pStyle w:val="Heading2"/>
      </w:pPr>
      <w:r>
        <w:t>Adjournment</w:t>
      </w:r>
      <w:bookmarkStart w:id="0" w:name="_GoBack"/>
      <w:bookmarkEnd w:id="0"/>
      <w:r w:rsidR="003E37BF">
        <w:br/>
      </w:r>
    </w:p>
    <w:p w14:paraId="1C4B03A9" w14:textId="2DA10A38" w:rsidR="006D08A7" w:rsidRDefault="006D08A7" w:rsidP="006D08A7">
      <w:r>
        <w:t xml:space="preserve">The meeting was adjourned at </w:t>
      </w:r>
      <w:r w:rsidR="00082F3C">
        <w:t>4</w:t>
      </w:r>
      <w:r>
        <w:t>:</w:t>
      </w:r>
      <w:r w:rsidR="00082F3C">
        <w:t>0</w:t>
      </w:r>
      <w:r w:rsidR="00EA13B2">
        <w:t>0</w:t>
      </w:r>
      <w:r>
        <w:t xml:space="preserve"> p.m.</w:t>
      </w:r>
    </w:p>
    <w:p w14:paraId="0C6A0B3E" w14:textId="4DD39798" w:rsidR="00E50F15" w:rsidRDefault="00E50F15" w:rsidP="00E50F15">
      <w:pPr>
        <w:jc w:val="both"/>
      </w:pPr>
    </w:p>
    <w:p w14:paraId="0A044E6D" w14:textId="77777777" w:rsidR="00037907" w:rsidRDefault="00037907" w:rsidP="00037907">
      <w:pPr>
        <w:pStyle w:val="Heading1"/>
      </w:pPr>
      <w:r>
        <w:t>Transfer Credits- Rounding of decimals from partial to full credit hours.</w:t>
      </w:r>
    </w:p>
    <w:p w14:paraId="624174A7" w14:textId="77777777" w:rsidR="00037907" w:rsidRDefault="00037907" w:rsidP="00037907">
      <w:pPr>
        <w:jc w:val="both"/>
      </w:pPr>
    </w:p>
    <w:p w14:paraId="04250855" w14:textId="77777777" w:rsidR="00037907" w:rsidRDefault="00037907" w:rsidP="00037907">
      <w:r>
        <w:rPr>
          <w:rStyle w:val="Heading2Char"/>
          <w:rFonts w:eastAsiaTheme="minorHAnsi"/>
        </w:rPr>
        <w:t>Summary &amp; Rationale</w:t>
      </w:r>
      <w:r>
        <w:rPr>
          <w:rStyle w:val="Heading2Char"/>
          <w:rFonts w:eastAsiaTheme="minorHAnsi"/>
        </w:rPr>
        <w:br/>
      </w:r>
      <w:r>
        <w:t>Transfer students admitted to Um and some UM exchange students attempt to transfer credits for classes taken elsewhere. Some of those academic institutions are on quarter schedules and international academic institutions with different calendars. The UM Admissions office performs calculations to best translate the academic effort between these systems to the UM semester system for equivalency. Occasionally that results in partial credits with decimals. That necessitates rounding either up or down. The current catalog language used 2.49 to round down and 2.66 to round up (below). This resulted from calculations based on quarter to semester conversions, but did not account for international conversions. Consequently, the graduate appeals committee has received petitions requesting a rounding up for students caught in the gap between 2.50 and 2.66, where the current catalog language requires rounding down to 2 instead of the mathematically correct rounding of up to 3.</w:t>
      </w:r>
    </w:p>
    <w:p w14:paraId="1BBD5A4E" w14:textId="77777777" w:rsidR="00037907" w:rsidRDefault="00037907" w:rsidP="00037907">
      <w:pPr>
        <w:jc w:val="both"/>
      </w:pPr>
    </w:p>
    <w:p w14:paraId="4A3E295E" w14:textId="77777777" w:rsidR="00037907" w:rsidRDefault="00037907" w:rsidP="00037907">
      <w:pPr>
        <w:jc w:val="both"/>
      </w:pPr>
      <w:r>
        <w:rPr>
          <w:rStyle w:val="Heading3Char"/>
        </w:rPr>
        <w:t>ASCRC Solution:</w:t>
      </w:r>
      <w:r>
        <w:t xml:space="preserve"> ASCRC addressed this in April of 2017, but the catalog revision was not made do to an oversight. Therefore, ASCRC would like to submit the change to faculty senate for approval this spring so that it can be effective in the 2018-19 catalog.</w:t>
      </w:r>
    </w:p>
    <w:p w14:paraId="4DC5DC7B" w14:textId="77777777" w:rsidR="00037907" w:rsidRDefault="00037907" w:rsidP="00037907">
      <w:pPr>
        <w:jc w:val="both"/>
      </w:pPr>
    </w:p>
    <w:p w14:paraId="3AA832A6" w14:textId="77777777" w:rsidR="00037907" w:rsidRDefault="00037907" w:rsidP="00037907">
      <w:pPr>
        <w:jc w:val="both"/>
        <w:rPr>
          <w:color w:val="000000"/>
        </w:rPr>
      </w:pPr>
      <w:r>
        <w:rPr>
          <w:rStyle w:val="Heading3Char"/>
        </w:rPr>
        <w:t>Existing Language:</w:t>
      </w:r>
      <w:r>
        <w:t xml:space="preserve"> (</w:t>
      </w:r>
      <w:r>
        <w:rPr>
          <w:color w:val="000000"/>
        </w:rPr>
        <w:t>From the section on Transfer Student Admissions)</w:t>
      </w:r>
    </w:p>
    <w:p w14:paraId="61ABED95" w14:textId="77777777" w:rsidR="00037907" w:rsidRDefault="00037907" w:rsidP="00037907">
      <w:pPr>
        <w:jc w:val="both"/>
        <w:rPr>
          <w:i/>
          <w:iCs/>
          <w:color w:val="000000"/>
        </w:rPr>
      </w:pPr>
      <w:r>
        <w:rPr>
          <w:i/>
          <w:iCs/>
          <w:color w:val="000000"/>
        </w:rPr>
        <w:t> In order to determine if transfer course work satisfies General Education requirements, the credits for each course are rounded. For example, if a student transfers in two N-courses each worth 2.66 credits, each course counts as 3 N-credits towards the Group XI requirement. On the other hand, an L-course worth 2.49 credits does not satisfy the Group V requirement of 3 L-credits.</w:t>
      </w:r>
    </w:p>
    <w:p w14:paraId="1BC660D2" w14:textId="77777777" w:rsidR="00037907" w:rsidRDefault="00037907" w:rsidP="00037907">
      <w:pPr>
        <w:jc w:val="both"/>
        <w:rPr>
          <w:i/>
          <w:iCs/>
          <w:color w:val="000000"/>
        </w:rPr>
      </w:pPr>
    </w:p>
    <w:p w14:paraId="247D1D26" w14:textId="77777777" w:rsidR="00037907" w:rsidRDefault="00037907" w:rsidP="00037907">
      <w:pPr>
        <w:rPr>
          <w:b/>
          <w:i/>
          <w:iCs/>
          <w:color w:val="000000"/>
        </w:rPr>
      </w:pPr>
      <w:r>
        <w:rPr>
          <w:rStyle w:val="Heading2Char"/>
          <w:rFonts w:eastAsiaTheme="minorHAnsi"/>
        </w:rPr>
        <w:lastRenderedPageBreak/>
        <w:t>Revised Catalog Entry</w:t>
      </w:r>
      <w:r>
        <w:rPr>
          <w:b/>
          <w:i/>
          <w:iCs/>
          <w:color w:val="000000"/>
        </w:rPr>
        <w:t xml:space="preserve"> </w:t>
      </w:r>
      <w:r>
        <w:rPr>
          <w:rStyle w:val="Heading2Char"/>
          <w:rFonts w:eastAsiaTheme="minorHAnsi"/>
        </w:rPr>
        <w:t xml:space="preserve">(for AY 2018-19) retroactive to any active catalog: </w:t>
      </w:r>
    </w:p>
    <w:p w14:paraId="6ED411DE" w14:textId="77777777" w:rsidR="00037907" w:rsidRDefault="00037907" w:rsidP="00037907">
      <w:pPr>
        <w:jc w:val="both"/>
        <w:rPr>
          <w:i/>
          <w:iCs/>
          <w:color w:val="000000"/>
        </w:rPr>
      </w:pPr>
      <w:r>
        <w:rPr>
          <w:i/>
          <w:iCs/>
          <w:color w:val="000000"/>
        </w:rPr>
        <w:t xml:space="preserve">In order to determine if transfer course work satisfies UM General Education requirements, the credits for each course are rounded. For example, courses from  schools on other calendars (such as quarters or trimesters) that are articulated on UM transcripts at 2.5 credits or higher will be rounded to 3 credits for the purpose of fulfilling, or partially fulfilling, General Education requirement groups I-XI.  This “rounding rule” does not apply when calculating students’ total completed credits for graduation requirements, nor towards the 39 upper-division credit requirement. </w:t>
      </w:r>
    </w:p>
    <w:p w14:paraId="58BE7466" w14:textId="77777777" w:rsidR="00037907" w:rsidRDefault="00037907" w:rsidP="00037907">
      <w:pPr>
        <w:jc w:val="both"/>
        <w:rPr>
          <w:i/>
          <w:iCs/>
          <w:color w:val="000000"/>
        </w:rPr>
      </w:pPr>
    </w:p>
    <w:p w14:paraId="0813C57D" w14:textId="77777777" w:rsidR="00CD4563" w:rsidRPr="00FF16C8" w:rsidRDefault="00CD4563" w:rsidP="00CD4563">
      <w:pPr>
        <w:pStyle w:val="Heading1"/>
      </w:pPr>
      <w:r w:rsidRPr="00FF16C8">
        <w:t>Double Major/ Dual Degree Requirements UM catalog spring 2018: ASCRC Revision</w:t>
      </w:r>
    </w:p>
    <w:p w14:paraId="798C0F3E" w14:textId="77777777" w:rsidR="00CD4563" w:rsidRPr="00FF16C8" w:rsidRDefault="00CD4563" w:rsidP="00CD4563">
      <w:pPr>
        <w:pStyle w:val="NoSpacing"/>
        <w:rPr>
          <w:b/>
        </w:rPr>
      </w:pPr>
    </w:p>
    <w:p w14:paraId="0D31BEA1" w14:textId="77777777" w:rsidR="00CD4563" w:rsidRDefault="00CD4563" w:rsidP="00CD4563">
      <w:r w:rsidRPr="00220927">
        <w:rPr>
          <w:rStyle w:val="Heading2Char"/>
          <w:rFonts w:eastAsiaTheme="minorHAnsi"/>
        </w:rPr>
        <w:t>Summary and Rationale:</w:t>
      </w:r>
      <w:r w:rsidRPr="00FF16C8">
        <w:rPr>
          <w:b/>
        </w:rPr>
        <w:t xml:space="preserve"> </w:t>
      </w:r>
      <w:r>
        <w:rPr>
          <w:b/>
        </w:rPr>
        <w:br/>
      </w:r>
      <w:r>
        <w:rPr>
          <w:b/>
        </w:rPr>
        <w:br/>
      </w:r>
      <w:r w:rsidRPr="00FF16C8">
        <w:t xml:space="preserve">The issue was brought to ASCRC based on confusion over: </w:t>
      </w:r>
      <w:r>
        <w:br/>
      </w:r>
      <w:r>
        <w:br/>
      </w:r>
    </w:p>
    <w:p w14:paraId="486AD8C4" w14:textId="77777777" w:rsidR="00CD4563" w:rsidRDefault="00CD4563" w:rsidP="00CD4563">
      <w:pPr>
        <w:pStyle w:val="ListParagraph"/>
        <w:numPr>
          <w:ilvl w:val="0"/>
          <w:numId w:val="43"/>
        </w:numPr>
        <w:spacing w:after="0" w:line="240" w:lineRule="auto"/>
      </w:pPr>
      <w:r w:rsidRPr="00FF16C8">
        <w:t xml:space="preserve">How dual degrees and double majors </w:t>
      </w:r>
      <w:r>
        <w:t>are</w:t>
      </w:r>
      <w:r w:rsidRPr="00FF16C8">
        <w:t xml:space="preserve"> issued</w:t>
      </w:r>
      <w:r>
        <w:t>.  There</w:t>
      </w:r>
      <w:r w:rsidRPr="00FF16C8">
        <w:t xml:space="preserve"> is an apparent historical error whereby double majors are (improperly</w:t>
      </w:r>
      <w:r>
        <w:t>?</w:t>
      </w:r>
      <w:r w:rsidRPr="00FF16C8">
        <w:t>) awarded across degree types (e.g. double major in a BS combined with a BA)</w:t>
      </w:r>
      <w:r>
        <w:t>.  T</w:t>
      </w:r>
      <w:r w:rsidRPr="00FF16C8">
        <w:t xml:space="preserve">his should be a dual degree not a double major by convention; </w:t>
      </w:r>
    </w:p>
    <w:p w14:paraId="460AAC79" w14:textId="77777777" w:rsidR="00CD4563" w:rsidRDefault="00CD4563" w:rsidP="00CD4563">
      <w:pPr>
        <w:pStyle w:val="ListParagraph"/>
        <w:numPr>
          <w:ilvl w:val="0"/>
          <w:numId w:val="43"/>
        </w:numPr>
        <w:spacing w:after="0" w:line="240" w:lineRule="auto"/>
      </w:pPr>
      <w:r w:rsidRPr="00FF16C8">
        <w:t>The current catalog language is vague and confusing in terms of defining a “dual degree” and a “double major”.</w:t>
      </w:r>
      <w:r>
        <w:t xml:space="preserve">  International students anticipate receipt of two diplomas for earning a double major.</w:t>
      </w:r>
    </w:p>
    <w:p w14:paraId="22876C8F" w14:textId="77777777" w:rsidR="00CD4563" w:rsidRDefault="00CD4563" w:rsidP="00CD4563">
      <w:pPr>
        <w:pStyle w:val="NoSpacing"/>
        <w:numPr>
          <w:ilvl w:val="0"/>
          <w:numId w:val="43"/>
        </w:numPr>
      </w:pPr>
      <w:r w:rsidRPr="00FF16C8">
        <w:t xml:space="preserve">The Registrar reports that under the current system UM may be improperly reporting (degrees awarded) to the BOR, the state of MT and the Federal government; and units/Depts. awarding degrees may not be credited properly. </w:t>
      </w:r>
    </w:p>
    <w:p w14:paraId="405C722E" w14:textId="77777777" w:rsidR="00CD4563" w:rsidRDefault="00CD4563" w:rsidP="00CD4563">
      <w:pPr>
        <w:pStyle w:val="NoSpacing"/>
        <w:numPr>
          <w:ilvl w:val="0"/>
          <w:numId w:val="43"/>
        </w:numPr>
      </w:pPr>
      <w:r w:rsidRPr="00FF16C8">
        <w:t>UM student transcripts may not be clear or accurate in describ</w:t>
      </w:r>
      <w:r>
        <w:t xml:space="preserve">ing degrees and majors awarded.  </w:t>
      </w:r>
      <w:r>
        <w:br/>
      </w:r>
    </w:p>
    <w:p w14:paraId="35952C72" w14:textId="77777777" w:rsidR="00CD4563" w:rsidRDefault="00CD4563" w:rsidP="00CD4563">
      <w:pPr>
        <w:pStyle w:val="Heading2"/>
      </w:pPr>
      <w:r>
        <w:t>Revised Catalog Language</w:t>
      </w:r>
    </w:p>
    <w:p w14:paraId="36D6F42C" w14:textId="77777777" w:rsidR="00CD4563" w:rsidRDefault="00CD4563" w:rsidP="00CD4563"/>
    <w:p w14:paraId="6F61FEE5" w14:textId="77777777" w:rsidR="00CD4563" w:rsidRPr="00FF16C8" w:rsidRDefault="00CD4563" w:rsidP="00CD4563">
      <w:pPr>
        <w:jc w:val="both"/>
      </w:pPr>
      <w:r w:rsidRPr="00FF16C8">
        <w:rPr>
          <w:b/>
          <w:bCs/>
        </w:rPr>
        <w:t>Bachelor Degrees</w:t>
      </w:r>
    </w:p>
    <w:p w14:paraId="1D7C78E6" w14:textId="77777777" w:rsidR="00CD4563" w:rsidRPr="00FF16C8" w:rsidRDefault="00CD4563" w:rsidP="00CD4563">
      <w:pPr>
        <w:jc w:val="both"/>
      </w:pPr>
      <w:r w:rsidRPr="00FF16C8">
        <w:t xml:space="preserve">A minimum total of 120 credits </w:t>
      </w:r>
      <w:proofErr w:type="gramStart"/>
      <w:r w:rsidRPr="00FF16C8">
        <w:t>is</w:t>
      </w:r>
      <w:proofErr w:type="gramEnd"/>
      <w:r w:rsidRPr="00FF16C8">
        <w:t xml:space="preserve"> required for graduation with a bachelor degree in most academic programs offered by the University of Montana. A greater number is required in some specific programs; students should consult the appropriate catalog section for their program of interest and discuss their plans with an academic advisor. </w:t>
      </w:r>
    </w:p>
    <w:p w14:paraId="4B36E400" w14:textId="77777777" w:rsidR="00CD4563" w:rsidRPr="00FF16C8" w:rsidRDefault="00CD4563" w:rsidP="00CD4563">
      <w:pPr>
        <w:jc w:val="both"/>
      </w:pPr>
    </w:p>
    <w:p w14:paraId="13D5A2AD" w14:textId="77777777" w:rsidR="00CD4563" w:rsidRPr="00FF16C8" w:rsidRDefault="00CD4563" w:rsidP="00CD4563">
      <w:pPr>
        <w:jc w:val="both"/>
      </w:pPr>
      <w:r w:rsidRPr="00FF16C8">
        <w:lastRenderedPageBreak/>
        <w:t>Students may elect to earn more than one degree or major at the bachelor level. Available options include a “double major” or “dual degree”:</w:t>
      </w:r>
    </w:p>
    <w:p w14:paraId="05CE960D" w14:textId="77777777" w:rsidR="00CD4563" w:rsidRDefault="00CD4563" w:rsidP="00CD4563">
      <w:pPr>
        <w:pStyle w:val="ListParagraph"/>
        <w:numPr>
          <w:ilvl w:val="0"/>
          <w:numId w:val="41"/>
        </w:numPr>
        <w:spacing w:after="0" w:line="240" w:lineRule="auto"/>
        <w:jc w:val="both"/>
      </w:pPr>
      <w:r>
        <w:t xml:space="preserve">A </w:t>
      </w:r>
      <w:r w:rsidRPr="00FF16C8">
        <w:t>“</w:t>
      </w:r>
      <w:r>
        <w:t>d</w:t>
      </w:r>
      <w:r w:rsidRPr="00FF16C8">
        <w:t xml:space="preserve">ouble major” is awarded as one degree with one diploma that may list two or more majors. The graduating student </w:t>
      </w:r>
      <w:r>
        <w:t xml:space="preserve">with multiple majors </w:t>
      </w:r>
      <w:r w:rsidRPr="00FF16C8">
        <w:t xml:space="preserve">must fulfill the curricular requirements for two or more </w:t>
      </w:r>
      <w:r>
        <w:t xml:space="preserve">majors </w:t>
      </w:r>
      <w:r w:rsidRPr="00FF16C8">
        <w:t>as well as all other requirements for graduation.</w:t>
      </w:r>
      <w:r>
        <w:t xml:space="preserve"> Two majors will normally be</w:t>
      </w:r>
      <w:r w:rsidRPr="00C376D6">
        <w:t xml:space="preserve"> within a single classification of bachelor’s degree (e.g. Bachelor of Sciences</w:t>
      </w:r>
      <w:r w:rsidRPr="00864681">
        <w:t xml:space="preserve">). </w:t>
      </w:r>
      <w:r w:rsidRPr="009F3C32">
        <w:t>Alternatively, the student may fulfill requirements for two majors across degree classes</w:t>
      </w:r>
      <w:r>
        <w:t>. In this case the student must declare a</w:t>
      </w:r>
      <w:r w:rsidRPr="009F3C32">
        <w:t xml:space="preserve"> primary major that determines the </w:t>
      </w:r>
      <w:r>
        <w:t xml:space="preserve">type of </w:t>
      </w:r>
      <w:r w:rsidRPr="009F3C32">
        <w:t>degree awarded</w:t>
      </w:r>
      <w:r>
        <w:t xml:space="preserve"> </w:t>
      </w:r>
      <w:r w:rsidRPr="000E6986">
        <w:t>(BS, BA, etc</w:t>
      </w:r>
      <w:r>
        <w:t>.</w:t>
      </w:r>
      <w:r w:rsidRPr="000E6986">
        <w:t xml:space="preserve">) </w:t>
      </w:r>
      <w:r w:rsidRPr="009F3C32">
        <w:t>that will be printed on the student’s diploma and transcript. The secondary major shall be annotated on the student transcript as completed.</w:t>
      </w:r>
    </w:p>
    <w:p w14:paraId="615F23F9" w14:textId="77777777" w:rsidR="00CD4563" w:rsidRDefault="00CD4563" w:rsidP="00CD4563">
      <w:pPr>
        <w:pStyle w:val="ListParagraph"/>
        <w:numPr>
          <w:ilvl w:val="0"/>
          <w:numId w:val="41"/>
        </w:numPr>
        <w:spacing w:after="0" w:line="240" w:lineRule="auto"/>
        <w:jc w:val="both"/>
      </w:pPr>
      <w:r>
        <w:t xml:space="preserve">A </w:t>
      </w:r>
      <w:r w:rsidRPr="00FF16C8">
        <w:t>“Dual degree” is awarded as two degrees with two diplomas (e.g. Bachelor Sciences </w:t>
      </w:r>
      <w:r w:rsidRPr="00C520BB">
        <w:rPr>
          <w:iCs/>
        </w:rPr>
        <w:t>and</w:t>
      </w:r>
      <w:r w:rsidRPr="00FF16C8">
        <w:t xml:space="preserve"> a Bachelor of Arts). The student </w:t>
      </w:r>
      <w:r>
        <w:t>must fulfill</w:t>
      </w:r>
      <w:r w:rsidRPr="00FF16C8">
        <w:t xml:space="preserve"> all of the program requirements for each of the separate bachelor </w:t>
      </w:r>
      <w:r>
        <w:t>degrees and must comply</w:t>
      </w:r>
      <w:r w:rsidRPr="00FF16C8">
        <w:t xml:space="preserve"> with the Residency Requirements for Degrees/Certificates (below) for each degree. The two, dual (or multiple) degrees may be earned concurrently or at different times but all dual d</w:t>
      </w:r>
      <w:r>
        <w:t xml:space="preserve">egree graduates must complete a </w:t>
      </w:r>
      <w:r w:rsidRPr="00FF16C8">
        <w:t xml:space="preserve">minimum of 150 credits </w:t>
      </w:r>
      <w:r>
        <w:t xml:space="preserve">by completing </w:t>
      </w:r>
      <w:r w:rsidRPr="00FF16C8">
        <w:t xml:space="preserve">30 </w:t>
      </w:r>
      <w:r>
        <w:t xml:space="preserve">unique </w:t>
      </w:r>
      <w:r w:rsidRPr="00FF16C8">
        <w:t>credits for each subsequent bachelor degree</w:t>
      </w:r>
      <w:r>
        <w:t>. However, note that academic residency requirements apply differently, so the requirements may differ, for University of Montana graduates versus non-graduates seeking dual or subsequent degrees.</w:t>
      </w:r>
    </w:p>
    <w:p w14:paraId="19F3EA97" w14:textId="77777777" w:rsidR="00CD4563" w:rsidRPr="00FF16C8" w:rsidRDefault="00CD4563" w:rsidP="00CD4563">
      <w:pPr>
        <w:jc w:val="both"/>
      </w:pPr>
      <w:r w:rsidRPr="00FF16C8">
        <w:t> </w:t>
      </w:r>
    </w:p>
    <w:p w14:paraId="3D7B623F" w14:textId="77777777" w:rsidR="00CD4563" w:rsidRPr="00FF16C8" w:rsidRDefault="00CD4563" w:rsidP="00CD4563">
      <w:pPr>
        <w:jc w:val="both"/>
      </w:pPr>
      <w:r w:rsidRPr="00FF16C8">
        <w:t xml:space="preserve">General education requirements need only be met once for either a double major or dual degree. Students encountering program or curricular obstacles to graduation may file for exceptions with the Graduation Appeals Committee. </w:t>
      </w:r>
    </w:p>
    <w:p w14:paraId="4174D7FD" w14:textId="77777777" w:rsidR="00CD4563" w:rsidRPr="00FF16C8" w:rsidRDefault="00CD4563" w:rsidP="00CD4563">
      <w:pPr>
        <w:jc w:val="both"/>
      </w:pPr>
    </w:p>
    <w:p w14:paraId="3A8EDB3A" w14:textId="77777777" w:rsidR="00CD4563" w:rsidRPr="00FF16C8" w:rsidRDefault="00CD4563" w:rsidP="00CD4563">
      <w:pPr>
        <w:jc w:val="both"/>
      </w:pPr>
      <w:r w:rsidRPr="00FF16C8">
        <w:rPr>
          <w:b/>
          <w:bCs/>
        </w:rPr>
        <w:t>Requirements for the Second Bachelor Degree</w:t>
      </w:r>
    </w:p>
    <w:p w14:paraId="157D2381" w14:textId="77777777" w:rsidR="00CD4563" w:rsidRDefault="00CD4563" w:rsidP="00CD4563">
      <w:pPr>
        <w:jc w:val="both"/>
      </w:pPr>
      <w:r w:rsidRPr="00FF16C8">
        <w:t> </w:t>
      </w:r>
    </w:p>
    <w:p w14:paraId="7CC7C0C2" w14:textId="77777777" w:rsidR="00CD4563" w:rsidRPr="00FF16C8" w:rsidRDefault="00CD4563" w:rsidP="00CD4563">
      <w:pPr>
        <w:jc w:val="both"/>
      </w:pPr>
      <w:r>
        <w:t>In regard to residency requirements, a “second bachelor degree” is defined as any bachelor degree earned by a student who previously had earned a bachelor degree from the University of Montana-Missoula; they have met first degree residency requirements and need only do so once. S</w:t>
      </w:r>
      <w:r w:rsidRPr="00FF16C8">
        <w:t>tudents seeki</w:t>
      </w:r>
      <w:r>
        <w:t>ng a second bachelor degree or “dual degree”</w:t>
      </w:r>
      <w:r w:rsidRPr="00FF16C8">
        <w:t xml:space="preserve"> from the University of Montana must </w:t>
      </w:r>
      <w:r>
        <w:t xml:space="preserve">complete </w:t>
      </w:r>
      <w:r w:rsidRPr="00FF16C8">
        <w:t>all academic requirements for each degree (first and subsequent)</w:t>
      </w:r>
      <w:r>
        <w:t xml:space="preserve"> and earn a </w:t>
      </w:r>
      <w:r w:rsidRPr="00FF16C8">
        <w:t xml:space="preserve">minimum of 150 credits </w:t>
      </w:r>
      <w:r>
        <w:t xml:space="preserve">by completing </w:t>
      </w:r>
      <w:r w:rsidRPr="00FF16C8">
        <w:t>an additional 30 credits for each subsequent bachelor degree</w:t>
      </w:r>
      <w:r>
        <w:t>. For students whom have met first degree residency requirements, only a minimum of 20 credits of the required 30 credits must be earned in study on the University of Montana-Missoula campus.</w:t>
      </w:r>
    </w:p>
    <w:p w14:paraId="163ADBD3" w14:textId="77777777" w:rsidR="00CD4563" w:rsidRPr="00FF16C8" w:rsidRDefault="00CD4563" w:rsidP="00CD4563">
      <w:pPr>
        <w:jc w:val="both"/>
      </w:pPr>
      <w:r w:rsidRPr="00FF16C8">
        <w:t> </w:t>
      </w:r>
    </w:p>
    <w:p w14:paraId="6B0FDF2D" w14:textId="77777777" w:rsidR="00CD4563" w:rsidRPr="00FF16C8" w:rsidRDefault="00CD4563" w:rsidP="00CD4563">
      <w:pPr>
        <w:jc w:val="both"/>
      </w:pPr>
      <w:r w:rsidRPr="00FF16C8">
        <w:t xml:space="preserve">Students attending the University of Montana whom </w:t>
      </w:r>
      <w:r>
        <w:t xml:space="preserve">are </w:t>
      </w:r>
      <w:proofErr w:type="gramStart"/>
      <w:r>
        <w:t>not</w:t>
      </w:r>
      <w:proofErr w:type="gramEnd"/>
      <w:r>
        <w:t xml:space="preserve"> University of Montana graduates, but </w:t>
      </w:r>
      <w:r w:rsidRPr="00FF16C8">
        <w:t xml:space="preserve">already have a bachelor degree from another institution must meet University of Montana residency “Requirements for The First Bachelor Degree” (above) for the </w:t>
      </w:r>
      <w:r>
        <w:t>subsequent</w:t>
      </w:r>
      <w:r w:rsidRPr="00FF16C8">
        <w:t xml:space="preserve"> degree that they are now seeking. As the catalog stipulates, this will require at least 30 additional credits of course work to be </w:t>
      </w:r>
      <w:r w:rsidRPr="00FF16C8">
        <w:lastRenderedPageBreak/>
        <w:t>earned from the University of Montana-Missoula campus with 30 of the last 45 credits earned from University of Montana-Missoula (exchange student exceptions may apply).</w:t>
      </w:r>
    </w:p>
    <w:p w14:paraId="5AF1C405" w14:textId="77777777" w:rsidR="00CD4563" w:rsidRPr="00FF16C8" w:rsidRDefault="00CD4563" w:rsidP="00CD4563">
      <w:pPr>
        <w:jc w:val="both"/>
      </w:pPr>
    </w:p>
    <w:p w14:paraId="07F9EBA1" w14:textId="77777777" w:rsidR="00CD4563" w:rsidRPr="00FF16C8" w:rsidRDefault="00CD4563" w:rsidP="00CD4563">
      <w:pPr>
        <w:jc w:val="both"/>
        <w:rPr>
          <w:b/>
        </w:rPr>
      </w:pPr>
      <w:r w:rsidRPr="00FF16C8">
        <w:rPr>
          <w:b/>
        </w:rPr>
        <w:t>Transcription of double majors and dual degrees</w:t>
      </w:r>
    </w:p>
    <w:p w14:paraId="19D143FA" w14:textId="77777777" w:rsidR="00CD4563" w:rsidRPr="00FF16C8" w:rsidRDefault="00CD4563" w:rsidP="00CD4563">
      <w:pPr>
        <w:jc w:val="both"/>
      </w:pPr>
    </w:p>
    <w:p w14:paraId="0C29820C" w14:textId="77777777" w:rsidR="00CD4563" w:rsidRPr="00FF16C8" w:rsidRDefault="00CD4563" w:rsidP="00CD4563">
      <w:pPr>
        <w:jc w:val="both"/>
      </w:pPr>
      <w:r w:rsidRPr="00FF16C8">
        <w:t>All majors, minors, degrees and certificates earned from the University of Montana shall be clearly and specifically listed on official transcripts under a single degree or as separate dual/multiple degrees, as appropriate.</w:t>
      </w:r>
    </w:p>
    <w:p w14:paraId="2F6ED0FD" w14:textId="77777777" w:rsidR="00CD4563" w:rsidRDefault="00CD4563" w:rsidP="00CD4563">
      <w:r>
        <w:t xml:space="preserve"> </w:t>
      </w:r>
    </w:p>
    <w:p w14:paraId="49545074" w14:textId="77777777" w:rsidR="00CD4563" w:rsidRDefault="00CD4563" w:rsidP="00CD4563">
      <w:pPr>
        <w:pStyle w:val="Heading2"/>
      </w:pPr>
      <w:r>
        <w:t xml:space="preserve">Current Catalog Language: </w:t>
      </w:r>
    </w:p>
    <w:p w14:paraId="429F441D" w14:textId="77777777" w:rsidR="00CD4563" w:rsidRDefault="00CD4563" w:rsidP="00CD4563"/>
    <w:p w14:paraId="7304DB6F" w14:textId="77777777" w:rsidR="00CD4563" w:rsidRDefault="00D90E66" w:rsidP="00CD4563">
      <w:pPr>
        <w:rPr>
          <w:rFonts w:ascii="Helvetica" w:hAnsi="Helvetica"/>
          <w:color w:val="2D3033"/>
          <w:sz w:val="21"/>
          <w:szCs w:val="21"/>
          <w:shd w:val="clear" w:color="auto" w:fill="FFFFFF"/>
        </w:rPr>
      </w:pPr>
      <w:hyperlink r:id="rId12" w:history="1">
        <w:r w:rsidR="00CD4563" w:rsidRPr="00E11C9A">
          <w:rPr>
            <w:rStyle w:val="Hyperlink"/>
            <w:rFonts w:ascii="Helvetica" w:hAnsi="Helvetica"/>
            <w:sz w:val="21"/>
            <w:szCs w:val="21"/>
            <w:shd w:val="clear" w:color="auto" w:fill="FFFFFF"/>
          </w:rPr>
          <w:t>http://catalog.umt.edu/academics/graduation-requirements/</w:t>
        </w:r>
      </w:hyperlink>
    </w:p>
    <w:p w14:paraId="1C63156E" w14:textId="77777777" w:rsidR="00CD4563" w:rsidRDefault="00CD4563" w:rsidP="00CD4563">
      <w:pPr>
        <w:pStyle w:val="Heading3"/>
        <w:shd w:val="clear" w:color="auto" w:fill="FFFFFF"/>
        <w:spacing w:before="375" w:after="270" w:line="270" w:lineRule="atLeast"/>
        <w:textAlignment w:val="baseline"/>
        <w:rPr>
          <w:rFonts w:ascii="Helvetica" w:hAnsi="Helvetica"/>
          <w:b w:val="0"/>
          <w:bCs w:val="0"/>
          <w:color w:val="555555"/>
        </w:rPr>
      </w:pPr>
      <w:r>
        <w:rPr>
          <w:rFonts w:ascii="Helvetica" w:hAnsi="Helvetica"/>
          <w:b w:val="0"/>
          <w:bCs w:val="0"/>
          <w:color w:val="555555"/>
        </w:rPr>
        <w:t>Bachelor Degrees</w:t>
      </w:r>
    </w:p>
    <w:p w14:paraId="2039EA37" w14:textId="77777777" w:rsidR="00CD4563" w:rsidRDefault="00CD4563" w:rsidP="00CD4563">
      <w:pPr>
        <w:pStyle w:val="NormalWeb"/>
        <w:shd w:val="clear" w:color="auto" w:fill="FFFFFF"/>
        <w:spacing w:before="0" w:after="0"/>
        <w:textAlignment w:val="baseline"/>
        <w:rPr>
          <w:rFonts w:ascii="Helvetica" w:hAnsi="Helvetica"/>
          <w:color w:val="2D3033"/>
          <w:sz w:val="21"/>
          <w:szCs w:val="21"/>
        </w:rPr>
      </w:pPr>
      <w:r>
        <w:rPr>
          <w:rFonts w:ascii="Helvetica" w:hAnsi="Helvetica"/>
          <w:color w:val="2D3033"/>
          <w:sz w:val="21"/>
          <w:szCs w:val="21"/>
        </w:rPr>
        <w:t>A total of 120 credits is required for graduation with a bachelor degree; except a greater number is required in teacher education programs, pharmacy, physical therapy and the Bachelor of Applied Science. See the </w:t>
      </w:r>
      <w:hyperlink r:id="rId13" w:history="1">
        <w:r>
          <w:rPr>
            <w:rStyle w:val="Hyperlink"/>
            <w:rFonts w:ascii="inherit" w:eastAsiaTheme="majorEastAsia" w:hAnsi="inherit"/>
            <w:color w:val="5E0009"/>
            <w:sz w:val="21"/>
            <w:szCs w:val="21"/>
            <w:bdr w:val="none" w:sz="0" w:space="0" w:color="auto" w:frame="1"/>
          </w:rPr>
          <w:t>College of Health Professions and Biomedical Sciences</w:t>
        </w:r>
      </w:hyperlink>
      <w:r>
        <w:rPr>
          <w:rFonts w:ascii="Helvetica" w:hAnsi="Helvetica"/>
          <w:color w:val="2D3033"/>
          <w:sz w:val="21"/>
          <w:szCs w:val="21"/>
        </w:rPr>
        <w:t> section of this catalog.</w:t>
      </w:r>
      <w:r>
        <w:rPr>
          <w:rFonts w:ascii="Helvetica" w:hAnsi="Helvetica"/>
          <w:color w:val="2D3033"/>
          <w:sz w:val="21"/>
          <w:szCs w:val="21"/>
        </w:rPr>
        <w:br/>
      </w:r>
    </w:p>
    <w:p w14:paraId="68DAFDDE" w14:textId="77777777" w:rsidR="00CD4563" w:rsidRDefault="00CD4563" w:rsidP="00CD4563">
      <w:r>
        <w:rPr>
          <w:rFonts w:ascii="Helvetica" w:hAnsi="Helvetica"/>
          <w:color w:val="2D3033"/>
          <w:sz w:val="21"/>
          <w:szCs w:val="21"/>
          <w:shd w:val="clear" w:color="auto" w:fill="FFFFFF"/>
        </w:rPr>
        <w:t>Students may elect to earn two or more bachelor degrees. Those deciding to earn two or more degrees must complete all the requirements of the majors for each degree. In addition, students must earn for each degree a minimum of 30 credits beyond the number required for the first degree. The degrees may be earned concurrently or at different times.</w:t>
      </w:r>
    </w:p>
    <w:p w14:paraId="1BF988D2" w14:textId="77777777" w:rsidR="00037907" w:rsidRDefault="00037907" w:rsidP="00E50F15">
      <w:pPr>
        <w:jc w:val="both"/>
      </w:pPr>
    </w:p>
    <w:sectPr w:rsidR="00037907"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7811"/>
    <w:multiLevelType w:val="hybridMultilevel"/>
    <w:tmpl w:val="F7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64BC3"/>
    <w:multiLevelType w:val="hybridMultilevel"/>
    <w:tmpl w:val="60F6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3E28"/>
    <w:multiLevelType w:val="hybridMultilevel"/>
    <w:tmpl w:val="990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EB07E28"/>
    <w:multiLevelType w:val="hybridMultilevel"/>
    <w:tmpl w:val="49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BB6C4A"/>
    <w:multiLevelType w:val="hybridMultilevel"/>
    <w:tmpl w:val="2104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230746"/>
    <w:multiLevelType w:val="hybridMultilevel"/>
    <w:tmpl w:val="561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C5232"/>
    <w:multiLevelType w:val="hybridMultilevel"/>
    <w:tmpl w:val="02BC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A3D0E"/>
    <w:multiLevelType w:val="hybridMultilevel"/>
    <w:tmpl w:val="006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912D0"/>
    <w:multiLevelType w:val="hybridMultilevel"/>
    <w:tmpl w:val="0D8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3405E"/>
    <w:multiLevelType w:val="hybridMultilevel"/>
    <w:tmpl w:val="34F6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BB3B48"/>
    <w:multiLevelType w:val="hybridMultilevel"/>
    <w:tmpl w:val="5C96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A05BC"/>
    <w:multiLevelType w:val="hybridMultilevel"/>
    <w:tmpl w:val="378C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72D6C"/>
    <w:multiLevelType w:val="hybridMultilevel"/>
    <w:tmpl w:val="7B1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660DD"/>
    <w:multiLevelType w:val="hybridMultilevel"/>
    <w:tmpl w:val="806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3228F"/>
    <w:multiLevelType w:val="hybridMultilevel"/>
    <w:tmpl w:val="069CCDDC"/>
    <w:lvl w:ilvl="0" w:tplc="332803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D029E4"/>
    <w:multiLevelType w:val="hybridMultilevel"/>
    <w:tmpl w:val="B9CC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26841"/>
    <w:multiLevelType w:val="hybridMultilevel"/>
    <w:tmpl w:val="9D1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E0972"/>
    <w:multiLevelType w:val="hybridMultilevel"/>
    <w:tmpl w:val="00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3F6825"/>
    <w:multiLevelType w:val="hybridMultilevel"/>
    <w:tmpl w:val="F2A0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6"/>
  </w:num>
  <w:num w:numId="4">
    <w:abstractNumId w:val="21"/>
  </w:num>
  <w:num w:numId="5">
    <w:abstractNumId w:val="33"/>
  </w:num>
  <w:num w:numId="6">
    <w:abstractNumId w:val="9"/>
  </w:num>
  <w:num w:numId="7">
    <w:abstractNumId w:val="10"/>
  </w:num>
  <w:num w:numId="8">
    <w:abstractNumId w:val="24"/>
  </w:num>
  <w:num w:numId="9">
    <w:abstractNumId w:val="27"/>
  </w:num>
  <w:num w:numId="10">
    <w:abstractNumId w:val="41"/>
  </w:num>
  <w:num w:numId="11">
    <w:abstractNumId w:val="37"/>
  </w:num>
  <w:num w:numId="12">
    <w:abstractNumId w:val="23"/>
  </w:num>
  <w:num w:numId="13">
    <w:abstractNumId w:val="0"/>
  </w:num>
  <w:num w:numId="14">
    <w:abstractNumId w:val="12"/>
  </w:num>
  <w:num w:numId="15">
    <w:abstractNumId w:val="26"/>
  </w:num>
  <w:num w:numId="16">
    <w:abstractNumId w:val="18"/>
  </w:num>
  <w:num w:numId="17">
    <w:abstractNumId w:val="8"/>
  </w:num>
  <w:num w:numId="18">
    <w:abstractNumId w:val="29"/>
  </w:num>
  <w:num w:numId="19">
    <w:abstractNumId w:val="31"/>
  </w:num>
  <w:num w:numId="20">
    <w:abstractNumId w:val="4"/>
  </w:num>
  <w:num w:numId="21">
    <w:abstractNumId w:val="6"/>
  </w:num>
  <w:num w:numId="22">
    <w:abstractNumId w:val="7"/>
  </w:num>
  <w:num w:numId="23">
    <w:abstractNumId w:val="20"/>
  </w:num>
  <w:num w:numId="24">
    <w:abstractNumId w:val="28"/>
  </w:num>
  <w:num w:numId="25">
    <w:abstractNumId w:val="13"/>
  </w:num>
  <w:num w:numId="26">
    <w:abstractNumId w:val="35"/>
  </w:num>
  <w:num w:numId="27">
    <w:abstractNumId w:val="17"/>
  </w:num>
  <w:num w:numId="28">
    <w:abstractNumId w:val="14"/>
  </w:num>
  <w:num w:numId="29">
    <w:abstractNumId w:val="38"/>
  </w:num>
  <w:num w:numId="30">
    <w:abstractNumId w:val="19"/>
  </w:num>
  <w:num w:numId="31">
    <w:abstractNumId w:val="22"/>
  </w:num>
  <w:num w:numId="32">
    <w:abstractNumId w:val="11"/>
  </w:num>
  <w:num w:numId="33">
    <w:abstractNumId w:val="40"/>
  </w:num>
  <w:num w:numId="34">
    <w:abstractNumId w:val="32"/>
  </w:num>
  <w:num w:numId="35">
    <w:abstractNumId w:val="34"/>
  </w:num>
  <w:num w:numId="36">
    <w:abstractNumId w:val="15"/>
  </w:num>
  <w:num w:numId="37">
    <w:abstractNumId w:val="1"/>
  </w:num>
  <w:num w:numId="38">
    <w:abstractNumId w:val="25"/>
  </w:num>
  <w:num w:numId="39">
    <w:abstractNumId w:val="36"/>
  </w:num>
  <w:num w:numId="40">
    <w:abstractNumId w:val="5"/>
  </w:num>
  <w:num w:numId="41">
    <w:abstractNumId w:val="39"/>
  </w:num>
  <w:num w:numId="42">
    <w:abstractNumId w:val="42"/>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07"/>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2F3C"/>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30DB"/>
    <w:rsid w:val="000C5D24"/>
    <w:rsid w:val="000C6AA9"/>
    <w:rsid w:val="000C7E94"/>
    <w:rsid w:val="000D0803"/>
    <w:rsid w:val="000D18FA"/>
    <w:rsid w:val="000D273E"/>
    <w:rsid w:val="000D398D"/>
    <w:rsid w:val="000D48F5"/>
    <w:rsid w:val="000D5287"/>
    <w:rsid w:val="000D5D01"/>
    <w:rsid w:val="000D5D6C"/>
    <w:rsid w:val="000D60B6"/>
    <w:rsid w:val="000D6937"/>
    <w:rsid w:val="000D7891"/>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3EC8"/>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2E49"/>
    <w:rsid w:val="002270ED"/>
    <w:rsid w:val="002304CF"/>
    <w:rsid w:val="00235F23"/>
    <w:rsid w:val="002364D6"/>
    <w:rsid w:val="00237074"/>
    <w:rsid w:val="00237948"/>
    <w:rsid w:val="002412BD"/>
    <w:rsid w:val="00243616"/>
    <w:rsid w:val="00243DC8"/>
    <w:rsid w:val="002442C5"/>
    <w:rsid w:val="002468D5"/>
    <w:rsid w:val="0025091B"/>
    <w:rsid w:val="002512CD"/>
    <w:rsid w:val="002539DA"/>
    <w:rsid w:val="00254CAB"/>
    <w:rsid w:val="00255526"/>
    <w:rsid w:val="00256989"/>
    <w:rsid w:val="00256F57"/>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1E3"/>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6A33"/>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27D"/>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1645"/>
    <w:rsid w:val="00412CEB"/>
    <w:rsid w:val="00413791"/>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4A60"/>
    <w:rsid w:val="00494F8C"/>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5ACA"/>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26D42"/>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20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A7A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0F90"/>
    <w:rsid w:val="009525DF"/>
    <w:rsid w:val="00953153"/>
    <w:rsid w:val="009535C0"/>
    <w:rsid w:val="00954152"/>
    <w:rsid w:val="0095439F"/>
    <w:rsid w:val="0095543E"/>
    <w:rsid w:val="00956738"/>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6EC8"/>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31E4"/>
    <w:rsid w:val="00A239A8"/>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0A0"/>
    <w:rsid w:val="00A41785"/>
    <w:rsid w:val="00A42069"/>
    <w:rsid w:val="00A420CC"/>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38B0"/>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5667"/>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4463"/>
    <w:rsid w:val="00B2609B"/>
    <w:rsid w:val="00B26474"/>
    <w:rsid w:val="00B27A95"/>
    <w:rsid w:val="00B27B66"/>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049C"/>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06FA"/>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26C"/>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B54A5"/>
    <w:rsid w:val="00CB7641"/>
    <w:rsid w:val="00CC0AF8"/>
    <w:rsid w:val="00CC2B00"/>
    <w:rsid w:val="00CC2B3D"/>
    <w:rsid w:val="00CC423F"/>
    <w:rsid w:val="00CC46BC"/>
    <w:rsid w:val="00CC480F"/>
    <w:rsid w:val="00CC4A70"/>
    <w:rsid w:val="00CC4DF1"/>
    <w:rsid w:val="00CC5EE4"/>
    <w:rsid w:val="00CC696C"/>
    <w:rsid w:val="00CD0759"/>
    <w:rsid w:val="00CD1D92"/>
    <w:rsid w:val="00CD2D23"/>
    <w:rsid w:val="00CD456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1359"/>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90E66"/>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44DB"/>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48EF"/>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060B"/>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15"/>
    <w:rsid w:val="00E50FEE"/>
    <w:rsid w:val="00E54FFE"/>
    <w:rsid w:val="00E55B5A"/>
    <w:rsid w:val="00E61E67"/>
    <w:rsid w:val="00E629B4"/>
    <w:rsid w:val="00E62CED"/>
    <w:rsid w:val="00E63500"/>
    <w:rsid w:val="00E6680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3B2"/>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21B9"/>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15A"/>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1DF"/>
    <w:rsid w:val="00F71232"/>
    <w:rsid w:val="00F72E0E"/>
    <w:rsid w:val="00F74B36"/>
    <w:rsid w:val="00F74E1D"/>
    <w:rsid w:val="00F7563A"/>
    <w:rsid w:val="00F7588C"/>
    <w:rsid w:val="00F767CD"/>
    <w:rsid w:val="00F802AF"/>
    <w:rsid w:val="00F807C9"/>
    <w:rsid w:val="00F8228A"/>
    <w:rsid w:val="00F847C0"/>
    <w:rsid w:val="00F84E0B"/>
    <w:rsid w:val="00F856D0"/>
    <w:rsid w:val="00F85783"/>
    <w:rsid w:val="00F87F89"/>
    <w:rsid w:val="00F92A72"/>
    <w:rsid w:val="00F93303"/>
    <w:rsid w:val="00F943A8"/>
    <w:rsid w:val="00F944BA"/>
    <w:rsid w:val="00F94AE6"/>
    <w:rsid w:val="00F9504F"/>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qFormat/>
    <w:rsid w:val="00CB764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qFormat/>
    <w:rsid w:val="00CB764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024869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33167786">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88009401">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49960978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858305003">
      <w:bodyDiv w:val="1"/>
      <w:marLeft w:val="0"/>
      <w:marRight w:val="0"/>
      <w:marTop w:val="0"/>
      <w:marBottom w:val="0"/>
      <w:divBdr>
        <w:top w:val="none" w:sz="0" w:space="0" w:color="auto"/>
        <w:left w:val="none" w:sz="0" w:space="0" w:color="auto"/>
        <w:bottom w:val="none" w:sz="0" w:space="0" w:color="auto"/>
        <w:right w:val="none" w:sz="0" w:space="0" w:color="auto"/>
      </w:divBdr>
    </w:div>
    <w:div w:id="1879972383">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0959851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903" TargetMode="External"/><Relationship Id="rId13" Type="http://schemas.openxmlformats.org/officeDocument/2006/relationships/hyperlink" Target="http://catalog.umt.edu/colleges-schools-programs/health-professions-biomedical-sciences/" TargetMode="External"/><Relationship Id="rId3" Type="http://schemas.microsoft.com/office/2007/relationships/stylesWithEffects" Target="stylesWithEffects.xml"/><Relationship Id="rId7" Type="http://schemas.openxmlformats.org/officeDocument/2006/relationships/hyperlink" Target="https://winapps.umt.edu/winapps/adminfin/eCurr/CourseForm/Index/1918" TargetMode="External"/><Relationship Id="rId12" Type="http://schemas.openxmlformats.org/officeDocument/2006/relationships/hyperlink" Target="http://catalog.umt.edu/academics/graduation-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929" TargetMode="External"/><Relationship Id="rId11" Type="http://schemas.openxmlformats.org/officeDocument/2006/relationships/hyperlink" Target="https://winapps.umt.edu/winapps/adminfin/eCurr/CourseForm/Index/19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napps.umt.edu/winapps/adminfin/eCurr/CourseForm/Index/1897" TargetMode="External"/><Relationship Id="rId4" Type="http://schemas.openxmlformats.org/officeDocument/2006/relationships/settings" Target="settings.xml"/><Relationship Id="rId9" Type="http://schemas.openxmlformats.org/officeDocument/2006/relationships/hyperlink" Target="https://winapps.umt.edu/winapps/adminfin/eCurr/CourseForm/Index/19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2018-04-13T20:35:00Z</dcterms:created>
  <dcterms:modified xsi:type="dcterms:W3CDTF">2018-04-13T22:27:00Z</dcterms:modified>
</cp:coreProperties>
</file>